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3182C" w14:textId="46F0856D" w:rsidR="00425531" w:rsidRPr="00AB103F" w:rsidRDefault="00C85A41">
      <w:pPr>
        <w:spacing w:before="240" w:after="240"/>
        <w:rPr>
          <w:b/>
          <w:bCs/>
        </w:rPr>
      </w:pPr>
      <w:r w:rsidRPr="00AB103F">
        <w:rPr>
          <w:b/>
          <w:bCs/>
          <w:color w:val="000000"/>
          <w:sz w:val="24"/>
          <w:szCs w:val="24"/>
        </w:rPr>
        <w:t>Townley School and Nursery Pupil Premium Strategy</w:t>
      </w:r>
      <w:r w:rsidR="00D47362" w:rsidRPr="00AB103F">
        <w:rPr>
          <w:b/>
          <w:bCs/>
          <w:color w:val="000000"/>
          <w:sz w:val="24"/>
          <w:szCs w:val="24"/>
        </w:rPr>
        <w:t xml:space="preserve"> October 2025</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1"/>
        <w:gridCol w:w="2830"/>
      </w:tblGrid>
      <w:tr w:rsidR="00F857DF" w:rsidRPr="00F857DF" w14:paraId="63BCAA45" w14:textId="77777777" w:rsidTr="00F857DF">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CFDCE3"/>
            <w:hideMark/>
          </w:tcPr>
          <w:p w14:paraId="7FBC5192" w14:textId="77777777" w:rsidR="00F857DF" w:rsidRPr="00F857DF" w:rsidRDefault="00F857DF" w:rsidP="00F857DF">
            <w:pPr>
              <w:rPr>
                <w:b/>
                <w:bCs/>
                <w:color w:val="000000"/>
                <w:sz w:val="24"/>
                <w:szCs w:val="24"/>
                <w:lang w:val="en-GB"/>
              </w:rPr>
            </w:pPr>
            <w:r w:rsidRPr="00F857DF">
              <w:rPr>
                <w:b/>
                <w:bCs/>
                <w:color w:val="000000"/>
                <w:sz w:val="24"/>
                <w:szCs w:val="24"/>
                <w:lang w:val="en-GB"/>
              </w:rPr>
              <w:t>Detail </w:t>
            </w:r>
          </w:p>
        </w:tc>
        <w:tc>
          <w:tcPr>
            <w:tcW w:w="2955" w:type="dxa"/>
            <w:tcBorders>
              <w:top w:val="single" w:sz="6" w:space="0" w:color="000000"/>
              <w:left w:val="single" w:sz="6" w:space="0" w:color="000000"/>
              <w:bottom w:val="single" w:sz="6" w:space="0" w:color="000000"/>
              <w:right w:val="single" w:sz="6" w:space="0" w:color="000000"/>
            </w:tcBorders>
            <w:shd w:val="clear" w:color="auto" w:fill="CFDCE3"/>
            <w:hideMark/>
          </w:tcPr>
          <w:p w14:paraId="76924060" w14:textId="77777777" w:rsidR="00F857DF" w:rsidRPr="00F857DF" w:rsidRDefault="00F857DF" w:rsidP="00F857DF">
            <w:pPr>
              <w:rPr>
                <w:b/>
                <w:bCs/>
                <w:color w:val="000000"/>
                <w:sz w:val="24"/>
                <w:szCs w:val="24"/>
                <w:lang w:val="en-GB"/>
              </w:rPr>
            </w:pPr>
            <w:r w:rsidRPr="00F857DF">
              <w:rPr>
                <w:b/>
                <w:bCs/>
                <w:color w:val="000000"/>
                <w:sz w:val="24"/>
                <w:szCs w:val="24"/>
                <w:lang w:val="en-GB"/>
              </w:rPr>
              <w:t>Data </w:t>
            </w:r>
          </w:p>
        </w:tc>
      </w:tr>
      <w:tr w:rsidR="00F857DF" w:rsidRPr="00F857DF" w14:paraId="2CA48859" w14:textId="77777777" w:rsidTr="00F857DF">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57DCFB99" w14:textId="77777777" w:rsidR="00F857DF" w:rsidRPr="00F857DF" w:rsidRDefault="00F857DF" w:rsidP="00F857DF">
            <w:pPr>
              <w:rPr>
                <w:color w:val="000000"/>
                <w:sz w:val="24"/>
                <w:szCs w:val="24"/>
                <w:lang w:val="en-GB"/>
              </w:rPr>
            </w:pPr>
            <w:r w:rsidRPr="00F857DF">
              <w:rPr>
                <w:color w:val="000000"/>
                <w:sz w:val="24"/>
                <w:szCs w:val="24"/>
                <w:lang w:val="en-GB"/>
              </w:rPr>
              <w:t>Number of pupils in school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53ACF0F3" w14:textId="568E0F83" w:rsidR="00F857DF" w:rsidRPr="00F857DF" w:rsidRDefault="00F857DF" w:rsidP="00F857DF">
            <w:pPr>
              <w:rPr>
                <w:color w:val="000000"/>
                <w:sz w:val="24"/>
                <w:szCs w:val="24"/>
                <w:lang w:val="en-GB"/>
              </w:rPr>
            </w:pPr>
            <w:r w:rsidRPr="00F857DF">
              <w:rPr>
                <w:color w:val="000000"/>
                <w:sz w:val="24"/>
                <w:szCs w:val="24"/>
                <w:lang w:val="en-GB"/>
              </w:rPr>
              <w:t> </w:t>
            </w:r>
            <w:r w:rsidR="00D47362">
              <w:rPr>
                <w:color w:val="000000"/>
                <w:sz w:val="24"/>
                <w:szCs w:val="24"/>
                <w:lang w:val="en-GB"/>
              </w:rPr>
              <w:t>97</w:t>
            </w:r>
          </w:p>
        </w:tc>
      </w:tr>
      <w:tr w:rsidR="00F857DF" w:rsidRPr="00F857DF" w14:paraId="475186EF" w14:textId="77777777" w:rsidTr="00F857DF">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3F0F91A7" w14:textId="77777777" w:rsidR="00F857DF" w:rsidRPr="00F857DF" w:rsidRDefault="00F857DF" w:rsidP="00F857DF">
            <w:pPr>
              <w:rPr>
                <w:color w:val="000000"/>
                <w:sz w:val="24"/>
                <w:szCs w:val="24"/>
                <w:lang w:val="en-GB"/>
              </w:rPr>
            </w:pPr>
            <w:r w:rsidRPr="00F857DF">
              <w:rPr>
                <w:color w:val="000000"/>
                <w:sz w:val="24"/>
                <w:szCs w:val="24"/>
                <w:lang w:val="en-GB"/>
              </w:rPr>
              <w:t>Proportion (%) of pupil premium eligible pupils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53538CE8" w14:textId="3CEA39F1" w:rsidR="00F857DF" w:rsidRPr="00F857DF" w:rsidRDefault="00F857DF" w:rsidP="00F857DF">
            <w:pPr>
              <w:rPr>
                <w:color w:val="000000"/>
                <w:sz w:val="24"/>
                <w:szCs w:val="24"/>
                <w:lang w:val="en-GB"/>
              </w:rPr>
            </w:pPr>
            <w:r w:rsidRPr="00F857DF">
              <w:rPr>
                <w:color w:val="000000"/>
                <w:sz w:val="24"/>
                <w:szCs w:val="24"/>
                <w:lang w:val="en-GB"/>
              </w:rPr>
              <w:t> </w:t>
            </w:r>
            <w:r w:rsidR="00C85A41" w:rsidRPr="00C85A41">
              <w:rPr>
                <w:color w:val="000000"/>
                <w:sz w:val="24"/>
                <w:szCs w:val="24"/>
              </w:rPr>
              <w:t>29.2%</w:t>
            </w:r>
          </w:p>
        </w:tc>
      </w:tr>
      <w:tr w:rsidR="00F857DF" w:rsidRPr="00F857DF" w14:paraId="31B368E1" w14:textId="77777777" w:rsidTr="00F857DF">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1DB252D2" w14:textId="77777777" w:rsidR="00F857DF" w:rsidRPr="00F857DF" w:rsidRDefault="00F857DF" w:rsidP="00F857DF">
            <w:pPr>
              <w:rPr>
                <w:color w:val="000000"/>
                <w:sz w:val="24"/>
                <w:szCs w:val="24"/>
                <w:lang w:val="en-GB"/>
              </w:rPr>
            </w:pPr>
            <w:r w:rsidRPr="00F857DF">
              <w:rPr>
                <w:color w:val="000000"/>
                <w:sz w:val="24"/>
                <w:szCs w:val="24"/>
                <w:lang w:val="en-GB"/>
              </w:rPr>
              <w:t>Academic year/years that our current pupil premium strategy plan covers </w:t>
            </w:r>
            <w:r w:rsidRPr="00F857DF">
              <w:rPr>
                <w:b/>
                <w:bCs/>
                <w:color w:val="000000"/>
                <w:sz w:val="24"/>
                <w:szCs w:val="24"/>
                <w:lang w:val="en-GB"/>
              </w:rPr>
              <w:t>(3-year plans are recommended – you must still publish an updated statement each academic year)</w:t>
            </w:r>
            <w:r w:rsidRPr="00F857DF">
              <w:rPr>
                <w:color w:val="000000"/>
                <w:sz w:val="24"/>
                <w:szCs w:val="24"/>
                <w:lang w:val="en-GB"/>
              </w:rPr>
              <w:t>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5D200D84" w14:textId="574CE0A0" w:rsidR="00F857DF" w:rsidRPr="00F857DF" w:rsidRDefault="00F857DF" w:rsidP="00F857DF">
            <w:pPr>
              <w:rPr>
                <w:color w:val="000000"/>
                <w:sz w:val="24"/>
                <w:szCs w:val="24"/>
                <w:lang w:val="en-GB"/>
              </w:rPr>
            </w:pPr>
            <w:r w:rsidRPr="00F857DF">
              <w:rPr>
                <w:color w:val="000000"/>
                <w:sz w:val="24"/>
                <w:szCs w:val="24"/>
                <w:lang w:val="en-GB"/>
              </w:rPr>
              <w:t> </w:t>
            </w:r>
            <w:r w:rsidR="000B4EB0">
              <w:rPr>
                <w:color w:val="000000"/>
                <w:sz w:val="24"/>
                <w:szCs w:val="24"/>
                <w:lang w:val="en-GB"/>
              </w:rPr>
              <w:t>2025 2026</w:t>
            </w:r>
          </w:p>
        </w:tc>
      </w:tr>
      <w:tr w:rsidR="00F857DF" w:rsidRPr="00F857DF" w14:paraId="32F87FB0" w14:textId="77777777" w:rsidTr="00F857DF">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4ACB571B" w14:textId="77777777" w:rsidR="00F857DF" w:rsidRPr="00F857DF" w:rsidRDefault="00F857DF" w:rsidP="00F857DF">
            <w:pPr>
              <w:rPr>
                <w:color w:val="000000"/>
                <w:sz w:val="24"/>
                <w:szCs w:val="24"/>
                <w:lang w:val="en-GB"/>
              </w:rPr>
            </w:pPr>
            <w:r w:rsidRPr="00F857DF">
              <w:rPr>
                <w:color w:val="000000"/>
                <w:sz w:val="24"/>
                <w:szCs w:val="24"/>
                <w:lang w:val="en-GB"/>
              </w:rPr>
              <w:t>Date this statement was published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75D978B4" w14:textId="1C762AC2" w:rsidR="00F857DF" w:rsidRPr="00F857DF" w:rsidRDefault="00F857DF" w:rsidP="00F857DF">
            <w:pPr>
              <w:rPr>
                <w:color w:val="000000"/>
                <w:sz w:val="24"/>
                <w:szCs w:val="24"/>
                <w:lang w:val="en-GB"/>
              </w:rPr>
            </w:pPr>
            <w:r w:rsidRPr="00F857DF">
              <w:rPr>
                <w:color w:val="000000"/>
                <w:sz w:val="24"/>
                <w:szCs w:val="24"/>
                <w:lang w:val="en-GB"/>
              </w:rPr>
              <w:t> </w:t>
            </w:r>
            <w:r w:rsidR="008A29B8">
              <w:rPr>
                <w:color w:val="000000"/>
                <w:sz w:val="24"/>
                <w:szCs w:val="24"/>
                <w:lang w:val="en-GB"/>
              </w:rPr>
              <w:t>December</w:t>
            </w:r>
            <w:r w:rsidR="000B4EB0">
              <w:rPr>
                <w:color w:val="000000"/>
                <w:sz w:val="24"/>
                <w:szCs w:val="24"/>
                <w:lang w:val="en-GB"/>
              </w:rPr>
              <w:t xml:space="preserve"> 2025</w:t>
            </w:r>
          </w:p>
        </w:tc>
      </w:tr>
      <w:tr w:rsidR="00F857DF" w:rsidRPr="00F857DF" w14:paraId="12CFF31D" w14:textId="77777777" w:rsidTr="00F857DF">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024744CE" w14:textId="77777777" w:rsidR="00F857DF" w:rsidRPr="00F857DF" w:rsidRDefault="00F857DF" w:rsidP="00F857DF">
            <w:pPr>
              <w:rPr>
                <w:color w:val="000000"/>
                <w:sz w:val="24"/>
                <w:szCs w:val="24"/>
                <w:lang w:val="en-GB"/>
              </w:rPr>
            </w:pPr>
            <w:r w:rsidRPr="00F857DF">
              <w:rPr>
                <w:color w:val="000000"/>
                <w:sz w:val="24"/>
                <w:szCs w:val="24"/>
                <w:lang w:val="en-GB"/>
              </w:rPr>
              <w:t>Date on which it will be reviewed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0327395A" w14:textId="7F2AC2F4" w:rsidR="00F857DF" w:rsidRPr="00F857DF" w:rsidRDefault="00F857DF" w:rsidP="00F857DF">
            <w:pPr>
              <w:rPr>
                <w:color w:val="000000"/>
                <w:sz w:val="24"/>
                <w:szCs w:val="24"/>
                <w:lang w:val="en-GB"/>
              </w:rPr>
            </w:pPr>
            <w:r w:rsidRPr="00F857DF">
              <w:rPr>
                <w:color w:val="000000"/>
                <w:sz w:val="24"/>
                <w:szCs w:val="24"/>
                <w:lang w:val="en-GB"/>
              </w:rPr>
              <w:t> </w:t>
            </w:r>
            <w:r w:rsidR="00032213">
              <w:rPr>
                <w:color w:val="000000"/>
                <w:sz w:val="24"/>
                <w:szCs w:val="24"/>
                <w:lang w:val="en-GB"/>
              </w:rPr>
              <w:t>July 2026</w:t>
            </w:r>
          </w:p>
        </w:tc>
      </w:tr>
      <w:tr w:rsidR="00F857DF" w:rsidRPr="00F857DF" w14:paraId="2F8A1EF7" w14:textId="77777777" w:rsidTr="00F857DF">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4EAE5999" w14:textId="77777777" w:rsidR="00F857DF" w:rsidRPr="00F857DF" w:rsidRDefault="00F857DF" w:rsidP="00F857DF">
            <w:pPr>
              <w:rPr>
                <w:color w:val="000000"/>
                <w:sz w:val="24"/>
                <w:szCs w:val="24"/>
                <w:lang w:val="en-GB"/>
              </w:rPr>
            </w:pPr>
            <w:r w:rsidRPr="00F857DF">
              <w:rPr>
                <w:color w:val="000000"/>
                <w:sz w:val="24"/>
                <w:szCs w:val="24"/>
                <w:lang w:val="en-GB"/>
              </w:rPr>
              <w:t>Statement authorised by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11B03266" w14:textId="4DE156DE" w:rsidR="00F857DF" w:rsidRPr="00F857DF" w:rsidRDefault="00F857DF" w:rsidP="00F857DF">
            <w:pPr>
              <w:rPr>
                <w:color w:val="000000"/>
                <w:sz w:val="24"/>
                <w:szCs w:val="24"/>
                <w:lang w:val="en-GB"/>
              </w:rPr>
            </w:pPr>
            <w:r w:rsidRPr="00F857DF">
              <w:rPr>
                <w:color w:val="000000"/>
                <w:sz w:val="24"/>
                <w:szCs w:val="24"/>
                <w:lang w:val="en-GB"/>
              </w:rPr>
              <w:t> </w:t>
            </w:r>
            <w:r w:rsidR="00032213">
              <w:rPr>
                <w:color w:val="000000"/>
                <w:sz w:val="24"/>
                <w:szCs w:val="24"/>
                <w:lang w:val="en-GB"/>
              </w:rPr>
              <w:t>Maria Higgins</w:t>
            </w:r>
          </w:p>
        </w:tc>
      </w:tr>
      <w:tr w:rsidR="00F857DF" w:rsidRPr="00F857DF" w14:paraId="06F697C8" w14:textId="77777777" w:rsidTr="00F857DF">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60D2AE23" w14:textId="77777777" w:rsidR="00F857DF" w:rsidRPr="00F857DF" w:rsidRDefault="00F857DF" w:rsidP="00F857DF">
            <w:pPr>
              <w:rPr>
                <w:color w:val="000000"/>
                <w:sz w:val="24"/>
                <w:szCs w:val="24"/>
                <w:lang w:val="en-GB"/>
              </w:rPr>
            </w:pPr>
            <w:r w:rsidRPr="00F857DF">
              <w:rPr>
                <w:color w:val="000000"/>
                <w:sz w:val="24"/>
                <w:szCs w:val="24"/>
                <w:lang w:val="en-GB"/>
              </w:rPr>
              <w:t>Pupil premium lead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0D6F6EB4" w14:textId="2B77BBAD" w:rsidR="00F857DF" w:rsidRPr="00F857DF" w:rsidRDefault="00F857DF" w:rsidP="00F857DF">
            <w:pPr>
              <w:rPr>
                <w:color w:val="000000"/>
                <w:sz w:val="24"/>
                <w:szCs w:val="24"/>
                <w:lang w:val="en-GB"/>
              </w:rPr>
            </w:pPr>
            <w:r w:rsidRPr="00F857DF">
              <w:rPr>
                <w:color w:val="000000"/>
                <w:sz w:val="24"/>
                <w:szCs w:val="24"/>
                <w:lang w:val="en-GB"/>
              </w:rPr>
              <w:t> </w:t>
            </w:r>
            <w:r w:rsidR="0040244C">
              <w:rPr>
                <w:color w:val="000000"/>
                <w:sz w:val="24"/>
                <w:szCs w:val="24"/>
                <w:lang w:val="en-GB"/>
              </w:rPr>
              <w:t>Maria Higgins</w:t>
            </w:r>
          </w:p>
        </w:tc>
      </w:tr>
      <w:tr w:rsidR="00F857DF" w:rsidRPr="00F857DF" w14:paraId="65177BED" w14:textId="77777777" w:rsidTr="00F857DF">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3D298376" w14:textId="77777777" w:rsidR="00F857DF" w:rsidRPr="00F857DF" w:rsidRDefault="00F857DF" w:rsidP="00F857DF">
            <w:pPr>
              <w:rPr>
                <w:color w:val="000000"/>
                <w:sz w:val="24"/>
                <w:szCs w:val="24"/>
                <w:lang w:val="en-GB"/>
              </w:rPr>
            </w:pPr>
            <w:r w:rsidRPr="00F857DF">
              <w:rPr>
                <w:color w:val="000000"/>
                <w:sz w:val="24"/>
                <w:szCs w:val="24"/>
                <w:lang w:val="en-GB"/>
              </w:rPr>
              <w:t>Governor / Trustee lead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7CA51B5B" w14:textId="76C850C2" w:rsidR="00F857DF" w:rsidRPr="00F857DF" w:rsidRDefault="00F857DF" w:rsidP="00F857DF">
            <w:pPr>
              <w:rPr>
                <w:color w:val="000000"/>
                <w:sz w:val="24"/>
                <w:szCs w:val="24"/>
                <w:lang w:val="en-GB"/>
              </w:rPr>
            </w:pPr>
            <w:r w:rsidRPr="00F857DF">
              <w:rPr>
                <w:color w:val="000000"/>
                <w:sz w:val="24"/>
                <w:szCs w:val="24"/>
                <w:lang w:val="en-GB"/>
              </w:rPr>
              <w:t> </w:t>
            </w:r>
            <w:r w:rsidR="007E5EF0">
              <w:rPr>
                <w:color w:val="000000"/>
                <w:sz w:val="24"/>
                <w:szCs w:val="24"/>
                <w:lang w:val="en-GB"/>
              </w:rPr>
              <w:t>Sonia Harwood</w:t>
            </w:r>
          </w:p>
        </w:tc>
      </w:tr>
    </w:tbl>
    <w:p w14:paraId="7870CC9A" w14:textId="77777777" w:rsidR="00F857DF" w:rsidRDefault="00F857DF" w:rsidP="00F857DF">
      <w:pPr>
        <w:rPr>
          <w:color w:val="000000"/>
          <w:sz w:val="24"/>
          <w:szCs w:val="24"/>
        </w:rPr>
      </w:pPr>
    </w:p>
    <w:p w14:paraId="5CE4B877" w14:textId="77777777" w:rsidR="00F857DF" w:rsidRDefault="00F857DF" w:rsidP="00F857DF">
      <w:pPr>
        <w:rPr>
          <w:color w:val="00000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1"/>
        <w:gridCol w:w="2830"/>
      </w:tblGrid>
      <w:tr w:rsidR="00F857DF" w:rsidRPr="00F857DF" w14:paraId="4CBC2481" w14:textId="77777777" w:rsidTr="00F857DF">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CFDCE3"/>
            <w:vAlign w:val="center"/>
            <w:hideMark/>
          </w:tcPr>
          <w:p w14:paraId="4D5FFB46" w14:textId="77777777" w:rsidR="00F857DF" w:rsidRPr="00F857DF" w:rsidRDefault="00F857DF" w:rsidP="00F857DF">
            <w:pPr>
              <w:rPr>
                <w:color w:val="000000"/>
                <w:sz w:val="24"/>
                <w:szCs w:val="24"/>
                <w:lang w:val="en-GB"/>
              </w:rPr>
            </w:pPr>
            <w:r w:rsidRPr="00F857DF">
              <w:rPr>
                <w:b/>
                <w:bCs/>
                <w:color w:val="000000"/>
                <w:sz w:val="24"/>
                <w:szCs w:val="24"/>
                <w:lang w:val="en-GB"/>
              </w:rPr>
              <w:t>Detail</w:t>
            </w:r>
            <w:r w:rsidRPr="00F857DF">
              <w:rPr>
                <w:color w:val="000000"/>
                <w:sz w:val="24"/>
                <w:szCs w:val="24"/>
                <w:lang w:val="en-GB"/>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CFDCE3"/>
            <w:vAlign w:val="center"/>
            <w:hideMark/>
          </w:tcPr>
          <w:p w14:paraId="763790D5" w14:textId="77777777" w:rsidR="00F857DF" w:rsidRPr="00F857DF" w:rsidRDefault="00F857DF" w:rsidP="00F857DF">
            <w:pPr>
              <w:rPr>
                <w:color w:val="000000"/>
                <w:sz w:val="24"/>
                <w:szCs w:val="24"/>
                <w:lang w:val="en-GB"/>
              </w:rPr>
            </w:pPr>
            <w:r w:rsidRPr="00F857DF">
              <w:rPr>
                <w:b/>
                <w:bCs/>
                <w:color w:val="000000"/>
                <w:sz w:val="24"/>
                <w:szCs w:val="24"/>
                <w:lang w:val="en-GB"/>
              </w:rPr>
              <w:t>Amount</w:t>
            </w:r>
            <w:r w:rsidRPr="00F857DF">
              <w:rPr>
                <w:color w:val="000000"/>
                <w:sz w:val="24"/>
                <w:szCs w:val="24"/>
                <w:lang w:val="en-GB"/>
              </w:rPr>
              <w:t> </w:t>
            </w:r>
          </w:p>
        </w:tc>
      </w:tr>
      <w:tr w:rsidR="00F857DF" w:rsidRPr="00F857DF" w14:paraId="72ABB8F2" w14:textId="77777777" w:rsidTr="00F857DF">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D13CB5" w14:textId="77777777" w:rsidR="00F857DF" w:rsidRPr="00F857DF" w:rsidRDefault="00F857DF" w:rsidP="00F857DF">
            <w:pPr>
              <w:rPr>
                <w:color w:val="000000"/>
                <w:sz w:val="24"/>
                <w:szCs w:val="24"/>
                <w:lang w:val="en-GB"/>
              </w:rPr>
            </w:pPr>
            <w:r w:rsidRPr="00F857DF">
              <w:rPr>
                <w:color w:val="000000"/>
                <w:sz w:val="24"/>
                <w:szCs w:val="24"/>
                <w:lang w:val="en-GB"/>
              </w:rPr>
              <w:t>Pupil premium funding allocation this academic year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E12CF69" w14:textId="3E04083F" w:rsidR="00F857DF" w:rsidRPr="00F857DF" w:rsidRDefault="00535912" w:rsidP="00F857DF">
            <w:pPr>
              <w:rPr>
                <w:color w:val="000000"/>
                <w:sz w:val="24"/>
                <w:szCs w:val="24"/>
                <w:lang w:val="en-GB"/>
              </w:rPr>
            </w:pPr>
            <w:r w:rsidRPr="00535912">
              <w:rPr>
                <w:color w:val="000000"/>
                <w:sz w:val="24"/>
                <w:szCs w:val="24"/>
              </w:rPr>
              <w:t>£38,224</w:t>
            </w:r>
          </w:p>
        </w:tc>
      </w:tr>
      <w:tr w:rsidR="00F857DF" w:rsidRPr="00F857DF" w14:paraId="7E75FD20" w14:textId="77777777" w:rsidTr="00F857DF">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E318E5" w14:textId="77777777" w:rsidR="00F857DF" w:rsidRPr="00F857DF" w:rsidRDefault="00F857DF" w:rsidP="00F857DF">
            <w:pPr>
              <w:rPr>
                <w:color w:val="000000"/>
                <w:sz w:val="24"/>
                <w:szCs w:val="24"/>
                <w:lang w:val="en-GB"/>
              </w:rPr>
            </w:pPr>
            <w:r w:rsidRPr="00F857DF">
              <w:rPr>
                <w:color w:val="000000"/>
                <w:sz w:val="24"/>
                <w:szCs w:val="24"/>
                <w:lang w:val="en-GB"/>
              </w:rPr>
              <w:t>Pupil premium funding carried forward from previous years </w:t>
            </w:r>
            <w:r w:rsidRPr="00F857DF">
              <w:rPr>
                <w:i/>
                <w:iCs/>
                <w:color w:val="000000"/>
                <w:sz w:val="24"/>
                <w:szCs w:val="24"/>
                <w:lang w:val="en-GB"/>
              </w:rPr>
              <w:t>(enter £0 if not applicable)</w:t>
            </w:r>
            <w:r w:rsidRPr="00F857DF">
              <w:rPr>
                <w:color w:val="000000"/>
                <w:sz w:val="24"/>
                <w:szCs w:val="24"/>
                <w:lang w:val="en-GB"/>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33EE221" w14:textId="7DCF2034" w:rsidR="00F857DF" w:rsidRPr="00F857DF" w:rsidRDefault="00F857DF" w:rsidP="00F857DF">
            <w:pPr>
              <w:rPr>
                <w:color w:val="000000"/>
                <w:sz w:val="24"/>
                <w:szCs w:val="24"/>
                <w:lang w:val="en-GB"/>
              </w:rPr>
            </w:pPr>
            <w:r w:rsidRPr="00F857DF">
              <w:rPr>
                <w:color w:val="000000"/>
                <w:sz w:val="24"/>
                <w:szCs w:val="24"/>
                <w:lang w:val="en-GB"/>
              </w:rPr>
              <w:t>£ </w:t>
            </w:r>
            <w:r w:rsidR="007E5EF0">
              <w:rPr>
                <w:color w:val="000000"/>
                <w:sz w:val="24"/>
                <w:szCs w:val="24"/>
                <w:lang w:val="en-GB"/>
              </w:rPr>
              <w:t>0</w:t>
            </w:r>
          </w:p>
        </w:tc>
      </w:tr>
      <w:tr w:rsidR="00F857DF" w:rsidRPr="00F857DF" w14:paraId="4E394A6C" w14:textId="77777777" w:rsidTr="00F857DF">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0F7CBF78" w14:textId="77777777" w:rsidR="00F857DF" w:rsidRPr="00F857DF" w:rsidRDefault="00F857DF" w:rsidP="00F857DF">
            <w:pPr>
              <w:rPr>
                <w:color w:val="000000"/>
                <w:sz w:val="24"/>
                <w:szCs w:val="24"/>
                <w:lang w:val="en-GB"/>
              </w:rPr>
            </w:pPr>
            <w:r w:rsidRPr="00F857DF">
              <w:rPr>
                <w:b/>
                <w:bCs/>
                <w:color w:val="000000"/>
                <w:sz w:val="24"/>
                <w:szCs w:val="24"/>
                <w:lang w:val="en-GB"/>
              </w:rPr>
              <w:t>Total budget for this academic year</w:t>
            </w:r>
            <w:r w:rsidRPr="00F857DF">
              <w:rPr>
                <w:color w:val="000000"/>
                <w:sz w:val="24"/>
                <w:szCs w:val="24"/>
                <w:lang w:val="en-GB"/>
              </w:rPr>
              <w:t> </w:t>
            </w:r>
          </w:p>
          <w:p w14:paraId="3FCA2866" w14:textId="77777777" w:rsidR="00F857DF" w:rsidRPr="00F857DF" w:rsidRDefault="00F857DF" w:rsidP="00F857DF">
            <w:pPr>
              <w:rPr>
                <w:color w:val="000000"/>
                <w:sz w:val="24"/>
                <w:szCs w:val="24"/>
                <w:lang w:val="en-GB"/>
              </w:rPr>
            </w:pPr>
            <w:r w:rsidRPr="00F857DF">
              <w:rPr>
                <w:i/>
                <w:iCs/>
                <w:color w:val="000000"/>
                <w:sz w:val="24"/>
                <w:szCs w:val="24"/>
                <w:lang w:val="en-GB"/>
              </w:rPr>
              <w:t>If your school is an academy in a trust that pools this funding, state the amount available to your school this academic year</w:t>
            </w:r>
            <w:r w:rsidRPr="00F857DF">
              <w:rPr>
                <w:color w:val="000000"/>
                <w:sz w:val="24"/>
                <w:szCs w:val="24"/>
                <w:lang w:val="en-GB"/>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497CA7AC" w14:textId="63C8C152" w:rsidR="00F857DF" w:rsidRPr="00F857DF" w:rsidRDefault="00535912" w:rsidP="00F857DF">
            <w:pPr>
              <w:rPr>
                <w:color w:val="000000"/>
                <w:sz w:val="24"/>
                <w:szCs w:val="24"/>
                <w:lang w:val="en-GB"/>
              </w:rPr>
            </w:pPr>
            <w:r w:rsidRPr="00535912">
              <w:rPr>
                <w:color w:val="000000"/>
                <w:sz w:val="24"/>
                <w:szCs w:val="24"/>
              </w:rPr>
              <w:t>£38,224</w:t>
            </w:r>
          </w:p>
        </w:tc>
      </w:tr>
    </w:tbl>
    <w:p w14:paraId="3A0642B4" w14:textId="77777777" w:rsidR="00425531" w:rsidRPr="00D64F80" w:rsidRDefault="00C85A41">
      <w:pPr>
        <w:spacing w:before="240" w:after="240"/>
        <w:rPr>
          <w:b/>
          <w:bCs/>
        </w:rPr>
      </w:pPr>
      <w:r w:rsidRPr="00D64F80">
        <w:rPr>
          <w:b/>
          <w:bCs/>
          <w:color w:val="000000"/>
          <w:sz w:val="24"/>
          <w:szCs w:val="24"/>
        </w:rPr>
        <w:t>Statement of Intent</w:t>
      </w:r>
    </w:p>
    <w:p w14:paraId="1D39BAF3" w14:textId="77777777" w:rsidR="00425531" w:rsidRDefault="00C85A41">
      <w:pPr>
        <w:spacing w:before="240" w:after="240"/>
      </w:pPr>
      <w:r>
        <w:rPr>
          <w:color w:val="000000"/>
          <w:sz w:val="24"/>
          <w:szCs w:val="24"/>
        </w:rPr>
        <w:t>Ultimate objectives for disadvantaged pupils</w:t>
      </w:r>
    </w:p>
    <w:p w14:paraId="4AC5C1A9" w14:textId="77777777" w:rsidR="00425531" w:rsidRDefault="00C85A41">
      <w:pPr>
        <w:numPr>
          <w:ilvl w:val="0"/>
          <w:numId w:val="8"/>
        </w:numPr>
        <w:rPr>
          <w:color w:val="000000"/>
          <w:sz w:val="24"/>
          <w:szCs w:val="24"/>
        </w:rPr>
      </w:pPr>
      <w:r>
        <w:rPr>
          <w:color w:val="000000"/>
          <w:sz w:val="24"/>
          <w:szCs w:val="24"/>
        </w:rPr>
        <w:t xml:space="preserve">Ensure every disadvantaged child </w:t>
      </w:r>
      <w:r>
        <w:rPr>
          <w:color w:val="000000"/>
          <w:sz w:val="24"/>
          <w:szCs w:val="24"/>
        </w:rPr>
        <w:t>(pupil premium — PP) at Townley makes strong, sustained progress so they achieve age-related expectations (ARE) where appropriate, and make individual progress from their own starting points.</w:t>
      </w:r>
    </w:p>
    <w:p w14:paraId="1FA351E1" w14:textId="618FB947" w:rsidR="00425531" w:rsidRDefault="00C85A41">
      <w:pPr>
        <w:numPr>
          <w:ilvl w:val="0"/>
          <w:numId w:val="8"/>
        </w:numPr>
        <w:rPr>
          <w:color w:val="000000"/>
          <w:sz w:val="24"/>
          <w:szCs w:val="24"/>
        </w:rPr>
      </w:pPr>
      <w:r>
        <w:rPr>
          <w:color w:val="000000"/>
          <w:sz w:val="24"/>
          <w:szCs w:val="24"/>
        </w:rPr>
        <w:t xml:space="preserve">Narrow and where possible eliminate the attainment gap between disadvantaged pupils and their non-disadvantaged peers in reading, writing and maths by: improving early language and phonics outcomes; accelerating catch-up in mathematics (notably </w:t>
      </w:r>
      <w:r w:rsidR="00F857DF">
        <w:rPr>
          <w:color w:val="000000"/>
          <w:sz w:val="24"/>
          <w:szCs w:val="24"/>
        </w:rPr>
        <w:t>KS1 and U</w:t>
      </w:r>
      <w:r>
        <w:rPr>
          <w:color w:val="000000"/>
          <w:sz w:val="24"/>
          <w:szCs w:val="24"/>
        </w:rPr>
        <w:t>KS2); and increasing reading fluency, comprehension and vocabulary breadth.</w:t>
      </w:r>
    </w:p>
    <w:p w14:paraId="5788E447" w14:textId="77777777" w:rsidR="00425531" w:rsidRDefault="00C85A41">
      <w:pPr>
        <w:numPr>
          <w:ilvl w:val="0"/>
          <w:numId w:val="8"/>
        </w:numPr>
        <w:rPr>
          <w:color w:val="000000"/>
          <w:sz w:val="24"/>
          <w:szCs w:val="24"/>
        </w:rPr>
      </w:pPr>
      <w:r>
        <w:rPr>
          <w:color w:val="000000"/>
          <w:sz w:val="24"/>
          <w:szCs w:val="24"/>
        </w:rPr>
        <w:t>Improve social, emotional and mental health (SEMH), attendance and readiness to learn so disadvantaged pupils can access high-quality teaching consistently.</w:t>
      </w:r>
    </w:p>
    <w:p w14:paraId="39AA52D5" w14:textId="77777777" w:rsidR="00425531" w:rsidRDefault="00C85A41">
      <w:pPr>
        <w:numPr>
          <w:ilvl w:val="0"/>
          <w:numId w:val="8"/>
        </w:numPr>
        <w:rPr>
          <w:color w:val="000000"/>
          <w:sz w:val="24"/>
          <w:szCs w:val="24"/>
        </w:rPr>
      </w:pPr>
      <w:r>
        <w:rPr>
          <w:color w:val="000000"/>
          <w:sz w:val="24"/>
          <w:szCs w:val="24"/>
        </w:rPr>
        <w:t>Build sustainable capacity in the school so improvements are embedded (through staff development, curriculum planning, targeted interventions and family engagement).</w:t>
      </w:r>
    </w:p>
    <w:p w14:paraId="56388374" w14:textId="77777777" w:rsidR="00425531" w:rsidRDefault="00C85A41">
      <w:pPr>
        <w:spacing w:before="240" w:after="240"/>
      </w:pPr>
      <w:r>
        <w:rPr>
          <w:color w:val="000000"/>
          <w:sz w:val="24"/>
          <w:szCs w:val="24"/>
        </w:rPr>
        <w:t>How this strategy works towards those objectives</w:t>
      </w:r>
    </w:p>
    <w:p w14:paraId="5117DD52" w14:textId="77777777" w:rsidR="00425531" w:rsidRDefault="00C85A41">
      <w:pPr>
        <w:numPr>
          <w:ilvl w:val="0"/>
          <w:numId w:val="8"/>
        </w:numPr>
        <w:rPr>
          <w:color w:val="000000"/>
          <w:sz w:val="24"/>
          <w:szCs w:val="24"/>
        </w:rPr>
      </w:pPr>
      <w:r>
        <w:rPr>
          <w:color w:val="000000"/>
          <w:sz w:val="24"/>
          <w:szCs w:val="24"/>
        </w:rPr>
        <w:lastRenderedPageBreak/>
        <w:t>Uses the DfE “Menu of Approaches” (three tiers: High‑quality teaching; Targeted academic support; Wider strategies) to allocate resource and design coherent activity that targets Townley’s identified barriers.</w:t>
      </w:r>
    </w:p>
    <w:p w14:paraId="1B926703" w14:textId="77777777" w:rsidR="00425531" w:rsidRDefault="00C85A41">
      <w:pPr>
        <w:numPr>
          <w:ilvl w:val="0"/>
          <w:numId w:val="8"/>
        </w:numPr>
        <w:rPr>
          <w:color w:val="000000"/>
          <w:sz w:val="24"/>
          <w:szCs w:val="24"/>
        </w:rPr>
      </w:pPr>
      <w:r>
        <w:rPr>
          <w:color w:val="000000"/>
          <w:sz w:val="24"/>
          <w:szCs w:val="24"/>
        </w:rPr>
        <w:t xml:space="preserve">Aligns actions with high‑quality evidence from the Education Endowment Foundation (EEF) and DfE guidance to select approaches most likely to raise attainment for disadvantaged pupils (e.g. communication &amp; language, systematic phonics, targeted tutoring, small‑group tuition, SEL and attendance strategies) </w:t>
      </w:r>
      <w:hyperlink r:id="rId10" w:history="1">
        <w:r>
          <w:rPr>
            <w:rStyle w:val="DefaultParagraphFontPHPDOCX"/>
            <w:color w:val="0000CC"/>
            <w:sz w:val="24"/>
            <w:szCs w:val="24"/>
            <w:u w:val="single" w:color="000000"/>
          </w:rPr>
          <w:t>EEF Guide to the Pupil Premium</w:t>
        </w:r>
      </w:hyperlink>
      <w:r>
        <w:rPr>
          <w:color w:val="000000"/>
          <w:sz w:val="24"/>
          <w:szCs w:val="24"/>
        </w:rPr>
        <w:t xml:space="preserve"> and </w:t>
      </w:r>
      <w:hyperlink r:id="rId11" w:history="1">
        <w:r>
          <w:rPr>
            <w:rStyle w:val="DefaultParagraphFontPHPDOCX"/>
            <w:color w:val="0000CC"/>
            <w:sz w:val="24"/>
            <w:szCs w:val="24"/>
            <w:u w:val="single" w:color="000000"/>
          </w:rPr>
          <w:t>DfE Using Pupil Premium guidance (Menu of Approaches)</w:t>
        </w:r>
      </w:hyperlink>
      <w:r>
        <w:rPr>
          <w:color w:val="000000"/>
          <w:sz w:val="24"/>
          <w:szCs w:val="24"/>
        </w:rPr>
        <w:t>.</w:t>
      </w:r>
    </w:p>
    <w:p w14:paraId="5A8697DC" w14:textId="77777777" w:rsidR="00425531" w:rsidRDefault="00C85A41">
      <w:pPr>
        <w:numPr>
          <w:ilvl w:val="0"/>
          <w:numId w:val="8"/>
        </w:numPr>
        <w:rPr>
          <w:color w:val="000000"/>
          <w:sz w:val="24"/>
          <w:szCs w:val="24"/>
        </w:rPr>
      </w:pPr>
      <w:r>
        <w:rPr>
          <w:color w:val="000000"/>
          <w:sz w:val="24"/>
          <w:szCs w:val="24"/>
        </w:rPr>
        <w:t>Diagnoses need using internal assessment, standardised checks and professional judgement and matches support (whole-class + targeted) to those needs; uses consistent monitoring and evaluation.</w:t>
      </w:r>
    </w:p>
    <w:p w14:paraId="787CAE7B" w14:textId="77777777" w:rsidR="00425531" w:rsidRDefault="00C85A41">
      <w:pPr>
        <w:spacing w:before="240" w:after="240"/>
      </w:pPr>
      <w:r>
        <w:rPr>
          <w:color w:val="000000"/>
          <w:sz w:val="24"/>
          <w:szCs w:val="24"/>
        </w:rPr>
        <w:t>Key principles of the strategy</w:t>
      </w:r>
    </w:p>
    <w:p w14:paraId="623EA389" w14:textId="77777777" w:rsidR="00425531" w:rsidRDefault="00C85A41">
      <w:pPr>
        <w:numPr>
          <w:ilvl w:val="0"/>
          <w:numId w:val="8"/>
        </w:numPr>
        <w:rPr>
          <w:color w:val="000000"/>
          <w:sz w:val="24"/>
          <w:szCs w:val="24"/>
        </w:rPr>
      </w:pPr>
      <w:r>
        <w:rPr>
          <w:color w:val="000000"/>
          <w:sz w:val="24"/>
          <w:szCs w:val="24"/>
        </w:rPr>
        <w:t xml:space="preserve">Prioritise high‑quality teaching (Tier 1): invest in curriculum design, staff subject knowledge (phonics, maths mastery, language development) and teacher development (coaching/NPQ opportunities) because this benefits all pupils and is the highest‑leverage use of PP funding </w:t>
      </w:r>
      <w:hyperlink r:id="rId12" w:history="1">
        <w:r>
          <w:rPr>
            <w:rStyle w:val="DefaultParagraphFontPHPDOCX"/>
            <w:color w:val="0000CC"/>
            <w:sz w:val="24"/>
            <w:szCs w:val="24"/>
            <w:u w:val="single" w:color="000000"/>
          </w:rPr>
          <w:t>DfE Menu of Approaches</w:t>
        </w:r>
      </w:hyperlink>
      <w:r>
        <w:rPr>
          <w:color w:val="000000"/>
          <w:sz w:val="24"/>
          <w:szCs w:val="24"/>
        </w:rPr>
        <w:t>.</w:t>
      </w:r>
    </w:p>
    <w:p w14:paraId="1814AC8B" w14:textId="77777777" w:rsidR="00425531" w:rsidRDefault="00C85A41">
      <w:pPr>
        <w:numPr>
          <w:ilvl w:val="0"/>
          <w:numId w:val="8"/>
        </w:numPr>
        <w:rPr>
          <w:color w:val="000000"/>
          <w:sz w:val="24"/>
          <w:szCs w:val="24"/>
        </w:rPr>
      </w:pPr>
      <w:r>
        <w:rPr>
          <w:color w:val="000000"/>
          <w:sz w:val="24"/>
          <w:szCs w:val="24"/>
        </w:rPr>
        <w:t xml:space="preserve">Layer targeted academic support (Tier 2) for pupils with identified gaps (structured phonics interventions, small‑group tuition, precision maths interventions and SEND‑adapted approaches) — tutoring and small‑group tuition have strong evidence of benefit when well‑aligned to classroom teaching </w:t>
      </w:r>
      <w:hyperlink r:id="rId13" w:history="1">
        <w:r>
          <w:rPr>
            <w:rStyle w:val="DefaultParagraphFontPHPDOCX"/>
            <w:color w:val="0000CC"/>
            <w:sz w:val="24"/>
            <w:szCs w:val="24"/>
            <w:u w:val="single" w:color="000000"/>
          </w:rPr>
          <w:t>EEF Tutoring guidance &amp; evidence summaries</w:t>
        </w:r>
      </w:hyperlink>
      <w:r>
        <w:rPr>
          <w:color w:val="000000"/>
          <w:sz w:val="24"/>
          <w:szCs w:val="24"/>
        </w:rPr>
        <w:t>.</w:t>
      </w:r>
    </w:p>
    <w:p w14:paraId="6C2C07F1" w14:textId="77777777" w:rsidR="00425531" w:rsidRDefault="00C85A41">
      <w:pPr>
        <w:numPr>
          <w:ilvl w:val="0"/>
          <w:numId w:val="8"/>
        </w:numPr>
        <w:rPr>
          <w:color w:val="000000"/>
          <w:sz w:val="24"/>
          <w:szCs w:val="24"/>
        </w:rPr>
      </w:pPr>
      <w:r>
        <w:rPr>
          <w:color w:val="000000"/>
          <w:sz w:val="24"/>
          <w:szCs w:val="24"/>
        </w:rPr>
        <w:t xml:space="preserve">Address non‑academic barriers (Tier 3) that prevent learning (attendance, SEMH, food/energy insecurity, limited enrichment opportunities) through school‑led pastoral work, family outreach and school provision (breakfast club, subsidised trips) because these increase access to learning and foster readiness to learn </w:t>
      </w:r>
      <w:hyperlink r:id="rId14" w:history="1">
        <w:r>
          <w:rPr>
            <w:rStyle w:val="DefaultParagraphFontPHPDOCX"/>
            <w:color w:val="0000CC"/>
            <w:sz w:val="24"/>
            <w:szCs w:val="24"/>
            <w:u w:val="single" w:color="000000"/>
          </w:rPr>
          <w:t>DfE Menu / EEF attendance &amp; SEL evidence</w:t>
        </w:r>
      </w:hyperlink>
      <w:r>
        <w:rPr>
          <w:color w:val="000000"/>
          <w:sz w:val="24"/>
          <w:szCs w:val="24"/>
        </w:rPr>
        <w:t xml:space="preserve"> .</w:t>
      </w:r>
    </w:p>
    <w:p w14:paraId="70399246" w14:textId="77777777" w:rsidR="00425531" w:rsidRDefault="00C85A41">
      <w:pPr>
        <w:numPr>
          <w:ilvl w:val="0"/>
          <w:numId w:val="8"/>
        </w:numPr>
        <w:rPr>
          <w:color w:val="000000"/>
          <w:sz w:val="24"/>
          <w:szCs w:val="24"/>
        </w:rPr>
      </w:pPr>
      <w:r>
        <w:rPr>
          <w:color w:val="000000"/>
          <w:sz w:val="24"/>
          <w:szCs w:val="24"/>
        </w:rPr>
        <w:t>Make decisions driven by evidence, cost‑effectiveness and frequent evaluation: use EEF summaries and DfE menu as primary evidence base and report outcomes transparently.</w:t>
      </w:r>
    </w:p>
    <w:p w14:paraId="6BAD6CA8" w14:textId="77777777" w:rsidR="00425531" w:rsidRDefault="00C85A41">
      <w:pPr>
        <w:numPr>
          <w:ilvl w:val="0"/>
          <w:numId w:val="8"/>
        </w:numPr>
        <w:rPr>
          <w:color w:val="000000"/>
          <w:sz w:val="24"/>
          <w:szCs w:val="24"/>
        </w:rPr>
      </w:pPr>
      <w:r>
        <w:rPr>
          <w:color w:val="000000"/>
          <w:sz w:val="24"/>
          <w:szCs w:val="24"/>
        </w:rPr>
        <w:t>Ensure inclusion: many of our disadvantaged pupils also have SEND; strategies will be adapted and coordinated with the SENCo and the enhanced resource base (10‑place SEMH unit).</w:t>
      </w:r>
    </w:p>
    <w:p w14:paraId="772E5227" w14:textId="77777777" w:rsidR="00425531" w:rsidRDefault="00C85A41">
      <w:pPr>
        <w:spacing w:before="240" w:after="240"/>
      </w:pPr>
      <w:r>
        <w:rPr>
          <w:color w:val="000000"/>
          <w:sz w:val="24"/>
          <w:szCs w:val="24"/>
        </w:rPr>
        <w:t>Citations for headline evidence used in this strategy</w:t>
      </w:r>
    </w:p>
    <w:p w14:paraId="47129C60" w14:textId="77777777" w:rsidR="00425531" w:rsidRDefault="00C85A41">
      <w:pPr>
        <w:numPr>
          <w:ilvl w:val="0"/>
          <w:numId w:val="8"/>
        </w:numPr>
        <w:rPr>
          <w:color w:val="000000"/>
          <w:sz w:val="24"/>
          <w:szCs w:val="24"/>
        </w:rPr>
      </w:pPr>
      <w:r>
        <w:rPr>
          <w:color w:val="000000"/>
          <w:sz w:val="24"/>
          <w:szCs w:val="24"/>
        </w:rPr>
        <w:t xml:space="preserve">EEF: Communication &amp; language approaches (average impact +7 months) — important for vocabulary and early reading </w:t>
      </w:r>
      <w:hyperlink r:id="rId15" w:history="1">
        <w:r>
          <w:rPr>
            <w:rStyle w:val="DefaultParagraphFontPHPDOCX"/>
            <w:color w:val="0000CC"/>
            <w:sz w:val="24"/>
            <w:szCs w:val="24"/>
            <w:u w:val="single" w:color="000000"/>
          </w:rPr>
          <w:t>EEF Communication &amp; Language / Early Years Toolkit</w:t>
        </w:r>
      </w:hyperlink>
      <w:r>
        <w:rPr>
          <w:color w:val="000000"/>
          <w:sz w:val="24"/>
          <w:szCs w:val="24"/>
        </w:rPr>
        <w:t>.</w:t>
      </w:r>
    </w:p>
    <w:p w14:paraId="3005F29B" w14:textId="77777777" w:rsidR="00425531" w:rsidRDefault="00C85A41">
      <w:pPr>
        <w:numPr>
          <w:ilvl w:val="0"/>
          <w:numId w:val="8"/>
        </w:numPr>
        <w:rPr>
          <w:color w:val="000000"/>
          <w:sz w:val="24"/>
          <w:szCs w:val="24"/>
        </w:rPr>
      </w:pPr>
      <w:r>
        <w:rPr>
          <w:color w:val="000000"/>
          <w:sz w:val="24"/>
          <w:szCs w:val="24"/>
        </w:rPr>
        <w:t xml:space="preserve">EEF: Phonics approaches (+5 months) — strong evidence for early reading and decoding </w:t>
      </w:r>
      <w:hyperlink r:id="rId16" w:history="1">
        <w:r>
          <w:rPr>
            <w:rStyle w:val="DefaultParagraphFontPHPDOCX"/>
            <w:color w:val="0000CC"/>
            <w:sz w:val="24"/>
            <w:szCs w:val="24"/>
            <w:u w:val="single" w:color="000000"/>
          </w:rPr>
          <w:t>EEF Phonics summary</w:t>
        </w:r>
      </w:hyperlink>
      <w:r>
        <w:rPr>
          <w:color w:val="000000"/>
          <w:sz w:val="24"/>
          <w:szCs w:val="24"/>
        </w:rPr>
        <w:t>.</w:t>
      </w:r>
    </w:p>
    <w:p w14:paraId="6F38F514" w14:textId="77777777" w:rsidR="00425531" w:rsidRDefault="00C85A41">
      <w:pPr>
        <w:numPr>
          <w:ilvl w:val="0"/>
          <w:numId w:val="8"/>
        </w:numPr>
        <w:rPr>
          <w:color w:val="000000"/>
          <w:sz w:val="24"/>
          <w:szCs w:val="24"/>
        </w:rPr>
      </w:pPr>
      <w:r>
        <w:rPr>
          <w:color w:val="000000"/>
          <w:sz w:val="24"/>
          <w:szCs w:val="24"/>
        </w:rPr>
        <w:t xml:space="preserve">EEF: Tuition — one‑to‑one (up to +5 months), small group tuition (up to +4 months) when targeted, frequent and aligned to classroom teaching </w:t>
      </w:r>
      <w:hyperlink r:id="rId17" w:history="1">
        <w:r>
          <w:rPr>
            <w:rStyle w:val="DefaultParagraphFontPHPDOCX"/>
            <w:color w:val="0000CC"/>
            <w:sz w:val="24"/>
            <w:szCs w:val="24"/>
            <w:u w:val="single" w:color="000000"/>
          </w:rPr>
          <w:t>EEF Tutoring &amp; Promising Programmes summaries</w:t>
        </w:r>
      </w:hyperlink>
      <w:r>
        <w:rPr>
          <w:color w:val="000000"/>
          <w:sz w:val="24"/>
          <w:szCs w:val="24"/>
        </w:rPr>
        <w:t>.</w:t>
      </w:r>
    </w:p>
    <w:p w14:paraId="771EF91F" w14:textId="77777777" w:rsidR="00425531" w:rsidRDefault="00C85A41">
      <w:pPr>
        <w:numPr>
          <w:ilvl w:val="0"/>
          <w:numId w:val="8"/>
        </w:numPr>
        <w:rPr>
          <w:color w:val="000000"/>
          <w:sz w:val="24"/>
          <w:szCs w:val="24"/>
        </w:rPr>
      </w:pPr>
      <w:r>
        <w:rPr>
          <w:color w:val="000000"/>
          <w:sz w:val="24"/>
          <w:szCs w:val="24"/>
        </w:rPr>
        <w:t xml:space="preserve">EEF: Social &amp; Emotional Learning (SEL) — positive academic and wellbeing effects; useful for SEMH needs </w:t>
      </w:r>
      <w:hyperlink r:id="rId18" w:history="1">
        <w:r>
          <w:rPr>
            <w:rStyle w:val="DefaultParagraphFontPHPDOCX"/>
            <w:color w:val="0000CC"/>
            <w:sz w:val="24"/>
            <w:szCs w:val="24"/>
            <w:u w:val="single" w:color="000000"/>
          </w:rPr>
          <w:t>EEF SEL teaching &amp; toolkit</w:t>
        </w:r>
      </w:hyperlink>
      <w:r>
        <w:rPr>
          <w:color w:val="000000"/>
          <w:sz w:val="24"/>
          <w:szCs w:val="24"/>
        </w:rPr>
        <w:t>.</w:t>
      </w:r>
    </w:p>
    <w:p w14:paraId="7A481A03" w14:textId="77777777" w:rsidR="00425531" w:rsidRDefault="00C85A41">
      <w:pPr>
        <w:numPr>
          <w:ilvl w:val="0"/>
          <w:numId w:val="8"/>
        </w:numPr>
        <w:rPr>
          <w:color w:val="000000"/>
          <w:sz w:val="24"/>
          <w:szCs w:val="24"/>
        </w:rPr>
      </w:pPr>
      <w:r>
        <w:rPr>
          <w:color w:val="000000"/>
          <w:sz w:val="24"/>
          <w:szCs w:val="24"/>
        </w:rPr>
        <w:lastRenderedPageBreak/>
        <w:t xml:space="preserve">DfE: Pupil Premium menu of approaches and requirement to align spending to evidence </w:t>
      </w:r>
      <w:hyperlink r:id="rId19" w:history="1">
        <w:r>
          <w:rPr>
            <w:rStyle w:val="DefaultParagraphFontPHPDOCX"/>
            <w:color w:val="0000CC"/>
            <w:sz w:val="24"/>
            <w:szCs w:val="24"/>
            <w:u w:val="single" w:color="000000"/>
          </w:rPr>
          <w:t>DfE Using Pupil Premium guidance</w:t>
        </w:r>
      </w:hyperlink>
      <w:r>
        <w:rPr>
          <w:color w:val="000000"/>
          <w:sz w:val="24"/>
          <w:szCs w:val="24"/>
        </w:rPr>
        <w:t>.</w:t>
      </w:r>
    </w:p>
    <w:p w14:paraId="59E484D4" w14:textId="77777777" w:rsidR="00B225B5" w:rsidRDefault="00B225B5" w:rsidP="00B225B5">
      <w:pPr>
        <w:ind w:left="720"/>
        <w:rPr>
          <w:color w:val="000000"/>
          <w:sz w:val="24"/>
          <w:szCs w:val="24"/>
        </w:rPr>
      </w:pPr>
    </w:p>
    <w:p w14:paraId="3B1AD9C1" w14:textId="77777777" w:rsidR="00425531" w:rsidRPr="00B225B5" w:rsidRDefault="00C85A41">
      <w:pPr>
        <w:numPr>
          <w:ilvl w:val="0"/>
          <w:numId w:val="15"/>
        </w:numPr>
        <w:rPr>
          <w:b/>
          <w:bCs/>
          <w:color w:val="000000"/>
          <w:sz w:val="24"/>
          <w:szCs w:val="24"/>
        </w:rPr>
      </w:pPr>
      <w:r w:rsidRPr="00B225B5">
        <w:rPr>
          <w:b/>
          <w:bCs/>
          <w:color w:val="000000"/>
          <w:sz w:val="24"/>
          <w:szCs w:val="24"/>
        </w:rPr>
        <w:t>Challenges Section</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976"/>
        <w:gridCol w:w="8039"/>
      </w:tblGrid>
      <w:tr w:rsidR="00425531" w14:paraId="740578BA"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02093EA" w14:textId="77777777" w:rsidR="00425531" w:rsidRDefault="00C85A41">
            <w:pPr>
              <w:jc w:val="center"/>
            </w:pPr>
            <w:r>
              <w:rPr>
                <w:b/>
                <w:bCs/>
                <w:color w:val="000000"/>
                <w:position w:val="-3"/>
                <w:sz w:val="24"/>
                <w:szCs w:val="24"/>
              </w:rPr>
              <w:t>Challenge Number</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CD72078" w14:textId="77777777" w:rsidR="00425531" w:rsidRDefault="00C85A41">
            <w:pPr>
              <w:jc w:val="center"/>
            </w:pPr>
            <w:r>
              <w:rPr>
                <w:b/>
                <w:bCs/>
                <w:color w:val="000000"/>
                <w:position w:val="-3"/>
                <w:sz w:val="24"/>
                <w:szCs w:val="24"/>
              </w:rPr>
              <w:t>Detail of challenge</w:t>
            </w:r>
          </w:p>
        </w:tc>
      </w:tr>
      <w:tr w:rsidR="00425531" w14:paraId="6DA7C76E"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0F56F4F" w14:textId="77777777" w:rsidR="00425531" w:rsidRDefault="00C85A41">
            <w:r>
              <w:rPr>
                <w:color w:val="000000"/>
                <w:position w:val="-3"/>
                <w:sz w:val="24"/>
                <w:szCs w:val="24"/>
              </w:rPr>
              <w:t>1</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2BBE75E" w14:textId="77777777" w:rsidR="00425531" w:rsidRDefault="00C85A41">
            <w:r>
              <w:rPr>
                <w:color w:val="000000"/>
                <w:position w:val="-3"/>
                <w:sz w:val="24"/>
                <w:szCs w:val="24"/>
              </w:rPr>
              <w:t xml:space="preserve">Limited vocabulary and background knowledge for many </w:t>
            </w:r>
            <w:r>
              <w:rPr>
                <w:color w:val="000000"/>
                <w:position w:val="-3"/>
                <w:sz w:val="24"/>
                <w:szCs w:val="24"/>
              </w:rPr>
              <w:t>disadvantaged pupils (low out‑of‑school experiences, restricted reading at home) — affects comprehension and access to the full curriculum.</w:t>
            </w:r>
          </w:p>
        </w:tc>
      </w:tr>
      <w:tr w:rsidR="00425531" w14:paraId="1B46457E"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89AAF56" w14:textId="77777777" w:rsidR="00425531" w:rsidRDefault="00C85A41">
            <w:r>
              <w:rPr>
                <w:color w:val="000000"/>
                <w:position w:val="-3"/>
                <w:sz w:val="24"/>
                <w:szCs w:val="24"/>
              </w:rPr>
              <w:t>2</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1455121" w14:textId="7A0C59D4" w:rsidR="00425531" w:rsidRDefault="00C85A41">
            <w:r>
              <w:rPr>
                <w:color w:val="000000"/>
                <w:position w:val="-3"/>
                <w:sz w:val="24"/>
                <w:szCs w:val="24"/>
              </w:rPr>
              <w:t xml:space="preserve">Low phonics and early reading fluency for some cohorts (need to improve Y1/Y2 phonics outcomes) and </w:t>
            </w:r>
            <w:r w:rsidR="00F857DF">
              <w:rPr>
                <w:color w:val="000000"/>
                <w:position w:val="-3"/>
                <w:sz w:val="24"/>
                <w:szCs w:val="24"/>
              </w:rPr>
              <w:t xml:space="preserve">writing in </w:t>
            </w:r>
            <w:r>
              <w:rPr>
                <w:color w:val="000000"/>
                <w:position w:val="-3"/>
                <w:sz w:val="24"/>
                <w:szCs w:val="24"/>
              </w:rPr>
              <w:t xml:space="preserve"> </w:t>
            </w:r>
            <w:r w:rsidR="00F857DF">
              <w:rPr>
                <w:color w:val="000000"/>
                <w:position w:val="-3"/>
                <w:sz w:val="24"/>
                <w:szCs w:val="24"/>
              </w:rPr>
              <w:t>U</w:t>
            </w:r>
            <w:r>
              <w:rPr>
                <w:color w:val="000000"/>
                <w:position w:val="-3"/>
                <w:sz w:val="24"/>
                <w:szCs w:val="24"/>
              </w:rPr>
              <w:t>KS2.</w:t>
            </w:r>
          </w:p>
        </w:tc>
      </w:tr>
      <w:tr w:rsidR="00425531" w14:paraId="2F0EEA29"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1E4B8D4" w14:textId="77777777" w:rsidR="00425531" w:rsidRDefault="00C85A41">
            <w:r>
              <w:rPr>
                <w:color w:val="000000"/>
                <w:position w:val="-3"/>
                <w:sz w:val="24"/>
                <w:szCs w:val="24"/>
              </w:rPr>
              <w:t>3</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E9396D9" w14:textId="77777777" w:rsidR="00425531" w:rsidRDefault="00C85A41">
            <w:r>
              <w:rPr>
                <w:color w:val="000000"/>
                <w:position w:val="-3"/>
                <w:sz w:val="24"/>
                <w:szCs w:val="24"/>
              </w:rPr>
              <w:t>SEND overlap: a high proportion of pupils eligible for PP also have SEND (including SEMH) — many need differentiated, SEND‑specific interventions and enhanced adult support.</w:t>
            </w:r>
          </w:p>
        </w:tc>
      </w:tr>
      <w:tr w:rsidR="00425531" w14:paraId="0F90B95A"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A39ECF3" w14:textId="77777777" w:rsidR="00425531" w:rsidRDefault="00C85A41">
            <w:r>
              <w:rPr>
                <w:color w:val="000000"/>
                <w:position w:val="-3"/>
                <w:sz w:val="24"/>
                <w:szCs w:val="24"/>
              </w:rPr>
              <w:t>4</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B44201C" w14:textId="77777777" w:rsidR="00425531" w:rsidRDefault="00C85A41">
            <w:r>
              <w:rPr>
                <w:color w:val="000000"/>
                <w:position w:val="-3"/>
                <w:sz w:val="24"/>
                <w:szCs w:val="24"/>
              </w:rPr>
              <w:t>Significant gaps in mathematics knowledge, particularly KS2 (Year 6 maths 50% ARE), causing pupils to fall further behind; need to strengthen mastery approaches and targeted catch‑up.</w:t>
            </w:r>
          </w:p>
        </w:tc>
      </w:tr>
      <w:tr w:rsidR="00425531" w14:paraId="5FEBB3C0"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E2369BE" w14:textId="77777777" w:rsidR="00425531" w:rsidRDefault="00C85A41">
            <w:r>
              <w:rPr>
                <w:color w:val="000000"/>
                <w:position w:val="-3"/>
                <w:sz w:val="24"/>
                <w:szCs w:val="24"/>
              </w:rPr>
              <w:t>5</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F9C72C4" w14:textId="77777777" w:rsidR="00425531" w:rsidRDefault="00C85A41">
            <w:r>
              <w:rPr>
                <w:color w:val="000000"/>
                <w:position w:val="-3"/>
                <w:sz w:val="24"/>
                <w:szCs w:val="24"/>
              </w:rPr>
              <w:t>Non‑academic barriers: poor attendance, SEMH, and basic living‑essentials insecurity (food, heating, hygiene) linked to current cost‑of‑living pressures are reducing readiness to learn and classroom engagement.</w:t>
            </w:r>
          </w:p>
        </w:tc>
      </w:tr>
    </w:tbl>
    <w:p w14:paraId="705BB1FA" w14:textId="77777777" w:rsidR="00425531" w:rsidRDefault="00C85A41">
      <w:pPr>
        <w:spacing w:before="240" w:after="240"/>
      </w:pPr>
      <w:r>
        <w:rPr>
          <w:color w:val="000000"/>
          <w:sz w:val="24"/>
          <w:szCs w:val="24"/>
        </w:rPr>
        <w:t>(Each challenge is drawn from the school’s data and contextual barriers provided; strategy activities map directly to these numbered challenges.)</w:t>
      </w:r>
    </w:p>
    <w:p w14:paraId="08C7ACE0" w14:textId="77777777" w:rsidR="00425531" w:rsidRPr="00A5535A" w:rsidRDefault="00C85A41">
      <w:pPr>
        <w:numPr>
          <w:ilvl w:val="0"/>
          <w:numId w:val="16"/>
        </w:numPr>
        <w:rPr>
          <w:b/>
          <w:bCs/>
          <w:color w:val="000000"/>
          <w:sz w:val="24"/>
          <w:szCs w:val="24"/>
        </w:rPr>
      </w:pPr>
      <w:r w:rsidRPr="00A5535A">
        <w:rPr>
          <w:b/>
          <w:bCs/>
          <w:color w:val="000000"/>
          <w:sz w:val="24"/>
          <w:szCs w:val="24"/>
        </w:rPr>
        <w:t>Intended Outcomes Section</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3016"/>
        <w:gridCol w:w="5999"/>
      </w:tblGrid>
      <w:tr w:rsidR="00425531" w14:paraId="4D9AC4FE"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F3FB3F6" w14:textId="77777777" w:rsidR="00425531" w:rsidRDefault="00C85A41">
            <w:pPr>
              <w:jc w:val="center"/>
            </w:pPr>
            <w:r>
              <w:rPr>
                <w:b/>
                <w:bCs/>
                <w:color w:val="000000"/>
                <w:position w:val="-3"/>
                <w:sz w:val="24"/>
                <w:szCs w:val="24"/>
              </w:rPr>
              <w:t>Intended Outcome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9E7D31C" w14:textId="77777777" w:rsidR="00425531" w:rsidRDefault="00C85A41">
            <w:pPr>
              <w:jc w:val="center"/>
            </w:pPr>
            <w:r>
              <w:rPr>
                <w:b/>
                <w:bCs/>
                <w:color w:val="000000"/>
                <w:position w:val="-3"/>
                <w:sz w:val="24"/>
                <w:szCs w:val="24"/>
              </w:rPr>
              <w:t>Success Criteria</w:t>
            </w:r>
          </w:p>
        </w:tc>
      </w:tr>
      <w:tr w:rsidR="00425531" w14:paraId="6B57AD36"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5842CCC" w14:textId="77777777" w:rsidR="00425531" w:rsidRDefault="00C85A41">
            <w:r>
              <w:rPr>
                <w:color w:val="000000"/>
                <w:position w:val="-3"/>
                <w:sz w:val="24"/>
                <w:szCs w:val="24"/>
              </w:rPr>
              <w:t>1. Rapid improvement in vocabulary, spoken language and reading comprehension for disadvantaged pupils across Early Years and KS1/KS2.</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AB776DB" w14:textId="4EDE4AD8" w:rsidR="00425531" w:rsidRDefault="00C85A41">
            <w:r>
              <w:rPr>
                <w:color w:val="000000"/>
                <w:position w:val="-3"/>
                <w:sz w:val="24"/>
                <w:szCs w:val="24"/>
              </w:rPr>
              <w:t xml:space="preserve">By end of strategy year: internal language/vocabulary baseline → measured termly shows average vocabulary breadth increase; Reception &amp; KS1 oral language assessments show improvement; KS2 reading comprehension gap (PP vs non‑PP) reduced by at least 50% from current baseline. Evidence of richer </w:t>
            </w:r>
            <w:r w:rsidR="00F857DF">
              <w:rPr>
                <w:color w:val="000000"/>
                <w:position w:val="-3"/>
                <w:sz w:val="24"/>
                <w:szCs w:val="24"/>
              </w:rPr>
              <w:t>adult interaction/</w:t>
            </w:r>
            <w:r>
              <w:rPr>
                <w:color w:val="000000"/>
                <w:position w:val="-3"/>
                <w:sz w:val="24"/>
                <w:szCs w:val="24"/>
              </w:rPr>
              <w:t xml:space="preserve"> talk</w:t>
            </w:r>
            <w:r w:rsidR="00F857DF">
              <w:rPr>
                <w:color w:val="000000"/>
                <w:position w:val="-3"/>
                <w:sz w:val="24"/>
                <w:szCs w:val="24"/>
              </w:rPr>
              <w:t xml:space="preserve"> with children</w:t>
            </w:r>
            <w:r>
              <w:rPr>
                <w:color w:val="000000"/>
                <w:position w:val="-3"/>
                <w:sz w:val="24"/>
                <w:szCs w:val="24"/>
              </w:rPr>
              <w:t xml:space="preserve"> and more pupils reading widely. (Measured by</w:t>
            </w:r>
            <w:r w:rsidR="002348B3">
              <w:rPr>
                <w:color w:val="000000"/>
                <w:position w:val="-3"/>
                <w:sz w:val="24"/>
                <w:szCs w:val="24"/>
              </w:rPr>
              <w:t xml:space="preserve"> </w:t>
            </w:r>
            <w:r>
              <w:rPr>
                <w:color w:val="000000"/>
                <w:position w:val="-3"/>
                <w:sz w:val="24"/>
                <w:szCs w:val="24"/>
              </w:rPr>
              <w:t xml:space="preserve">reading comprehension tests and lesson sampling.) </w:t>
            </w:r>
            <w:hyperlink r:id="rId20" w:history="1">
              <w:r>
                <w:rPr>
                  <w:rStyle w:val="DefaultParagraphFontPHPDOCX"/>
                  <w:color w:val="0000CC"/>
                  <w:position w:val="-3"/>
                  <w:sz w:val="24"/>
                  <w:szCs w:val="24"/>
                  <w:u w:val="single" w:color="000000"/>
                </w:rPr>
                <w:t>EEF Communication &amp; Language</w:t>
              </w:r>
            </w:hyperlink>
            <w:r>
              <w:rPr>
                <w:color w:val="000000"/>
                <w:position w:val="-3"/>
                <w:sz w:val="24"/>
                <w:szCs w:val="24"/>
              </w:rPr>
              <w:t>.</w:t>
            </w:r>
          </w:p>
        </w:tc>
      </w:tr>
      <w:tr w:rsidR="00425531" w14:paraId="7013A546"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D9CE1FC" w14:textId="77777777" w:rsidR="00425531" w:rsidRDefault="00C85A41">
            <w:r>
              <w:rPr>
                <w:color w:val="000000"/>
                <w:position w:val="-3"/>
                <w:sz w:val="24"/>
                <w:szCs w:val="24"/>
              </w:rPr>
              <w:t xml:space="preserve">2. Phonics outcomes (end of Y1 &amp; Y2) reach or </w:t>
            </w:r>
            <w:r>
              <w:rPr>
                <w:color w:val="000000"/>
                <w:position w:val="-3"/>
                <w:sz w:val="24"/>
                <w:szCs w:val="24"/>
              </w:rPr>
              <w:lastRenderedPageBreak/>
              <w:t>exceed national averages for disadvantaged pupils.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69653A5" w14:textId="55B6E5F2" w:rsidR="00425531" w:rsidRDefault="00C85A41">
            <w:r>
              <w:rPr>
                <w:color w:val="000000"/>
                <w:position w:val="-3"/>
                <w:sz w:val="24"/>
                <w:szCs w:val="24"/>
              </w:rPr>
              <w:lastRenderedPageBreak/>
              <w:t>By end of the next academic year: Y1 phonics screening check pass rate for PP children ≥ national PP average</w:t>
            </w:r>
            <w:r w:rsidR="00F857DF">
              <w:rPr>
                <w:color w:val="000000"/>
                <w:position w:val="-3"/>
                <w:sz w:val="24"/>
                <w:szCs w:val="24"/>
              </w:rPr>
              <w:t xml:space="preserve">, where children do not have SEND need </w:t>
            </w:r>
            <w:r w:rsidR="00F857DF">
              <w:rPr>
                <w:color w:val="000000"/>
                <w:position w:val="-3"/>
                <w:sz w:val="24"/>
                <w:szCs w:val="24"/>
              </w:rPr>
              <w:lastRenderedPageBreak/>
              <w:t>that would prevent this,</w:t>
            </w:r>
            <w:r>
              <w:rPr>
                <w:color w:val="000000"/>
                <w:position w:val="-3"/>
                <w:sz w:val="24"/>
                <w:szCs w:val="24"/>
              </w:rPr>
              <w:t xml:space="preserve"> targeted children accessing 4–5 sessions/week of phonics catch‑up show measurable progress on</w:t>
            </w:r>
            <w:r w:rsidR="00F857DF">
              <w:rPr>
                <w:color w:val="000000"/>
                <w:position w:val="-3"/>
                <w:sz w:val="24"/>
                <w:szCs w:val="24"/>
              </w:rPr>
              <w:t xml:space="preserve"> phonics</w:t>
            </w:r>
            <w:r>
              <w:rPr>
                <w:color w:val="000000"/>
                <w:position w:val="-3"/>
                <w:sz w:val="24"/>
                <w:szCs w:val="24"/>
              </w:rPr>
              <w:t xml:space="preserve"> assessments. </w:t>
            </w:r>
            <w:hyperlink r:id="rId21" w:history="1">
              <w:r>
                <w:rPr>
                  <w:rStyle w:val="DefaultParagraphFontPHPDOCX"/>
                  <w:color w:val="0000CC"/>
                  <w:position w:val="-3"/>
                  <w:sz w:val="24"/>
                  <w:szCs w:val="24"/>
                  <w:u w:val="single" w:color="000000"/>
                </w:rPr>
                <w:t>EEF Phonics +5 months</w:t>
              </w:r>
            </w:hyperlink>
            <w:r>
              <w:rPr>
                <w:color w:val="000000"/>
                <w:position w:val="-3"/>
                <w:sz w:val="24"/>
                <w:szCs w:val="24"/>
              </w:rPr>
              <w:t>.</w:t>
            </w:r>
          </w:p>
        </w:tc>
      </w:tr>
      <w:tr w:rsidR="00425531" w14:paraId="10C91730"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CB86172" w14:textId="77777777" w:rsidR="00425531" w:rsidRDefault="00C85A41">
            <w:r>
              <w:rPr>
                <w:color w:val="000000"/>
                <w:position w:val="-3"/>
                <w:sz w:val="24"/>
                <w:szCs w:val="24"/>
              </w:rPr>
              <w:lastRenderedPageBreak/>
              <w:t>3. SEND‑adapted support improves access and progress: fewer PP pupils plateauing because of SEND-related barriers.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7F255D" w14:textId="40EA16A3" w:rsidR="00425531" w:rsidRDefault="00C85A41">
            <w:r>
              <w:rPr>
                <w:color w:val="000000"/>
                <w:position w:val="-3"/>
                <w:sz w:val="24"/>
                <w:szCs w:val="24"/>
              </w:rPr>
              <w:t>Termly progress for PP+SEND pupils shows improved rate of progress (measured by individual targets ). SENCo audits show improved implementation of SEND adjustments.</w:t>
            </w:r>
          </w:p>
        </w:tc>
      </w:tr>
      <w:tr w:rsidR="00425531" w14:paraId="19C830D2"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D8B3AF9" w14:textId="77777777" w:rsidR="00425531" w:rsidRDefault="00C85A41">
            <w:r>
              <w:rPr>
                <w:color w:val="000000"/>
                <w:position w:val="-3"/>
                <w:sz w:val="24"/>
                <w:szCs w:val="24"/>
              </w:rPr>
              <w:t>4. Maths attainment at KS2 increases — narrow the gap substantially.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1620E37" w14:textId="58880880" w:rsidR="00425531" w:rsidRDefault="00C85A41">
            <w:r>
              <w:rPr>
                <w:color w:val="000000"/>
                <w:position w:val="-3"/>
                <w:sz w:val="24"/>
                <w:szCs w:val="24"/>
              </w:rPr>
              <w:t xml:space="preserve">By end of strategy year: Year 6 maths </w:t>
            </w:r>
            <w:r w:rsidR="002348B3">
              <w:rPr>
                <w:color w:val="000000"/>
                <w:position w:val="-3"/>
                <w:sz w:val="24"/>
                <w:szCs w:val="24"/>
              </w:rPr>
              <w:t>progress</w:t>
            </w:r>
            <w:r>
              <w:rPr>
                <w:color w:val="000000"/>
                <w:position w:val="-3"/>
                <w:sz w:val="24"/>
                <w:szCs w:val="24"/>
              </w:rPr>
              <w:t xml:space="preserve"> for disadvantaged pupils increases </w:t>
            </w:r>
            <w:r w:rsidR="002348B3">
              <w:rPr>
                <w:color w:val="000000"/>
                <w:position w:val="-3"/>
                <w:sz w:val="24"/>
                <w:szCs w:val="24"/>
              </w:rPr>
              <w:t xml:space="preserve">in line with </w:t>
            </w:r>
            <w:r w:rsidR="00AF256C">
              <w:rPr>
                <w:color w:val="000000"/>
                <w:position w:val="-3"/>
                <w:sz w:val="24"/>
                <w:szCs w:val="24"/>
              </w:rPr>
              <w:t>nationally expected progress</w:t>
            </w:r>
            <w:r>
              <w:rPr>
                <w:color w:val="000000"/>
                <w:position w:val="-3"/>
                <w:sz w:val="24"/>
                <w:szCs w:val="24"/>
              </w:rPr>
              <w:t xml:space="preserve">, with classroom </w:t>
            </w:r>
            <w:r w:rsidR="00AF256C">
              <w:rPr>
                <w:color w:val="000000"/>
                <w:position w:val="-3"/>
                <w:sz w:val="24"/>
                <w:szCs w:val="24"/>
              </w:rPr>
              <w:t>assessments</w:t>
            </w:r>
            <w:r>
              <w:rPr>
                <w:color w:val="000000"/>
                <w:position w:val="-3"/>
                <w:sz w:val="24"/>
                <w:szCs w:val="24"/>
              </w:rPr>
              <w:t xml:space="preserve"> showing accelerated progress for targeted cohorts. Mastering Number embedded in KS1; Y6 targeted tuition shows positive impact. </w:t>
            </w:r>
            <w:hyperlink r:id="rId22" w:history="1">
              <w:r>
                <w:rPr>
                  <w:rStyle w:val="DefaultParagraphFontPHPDOCX"/>
                  <w:color w:val="0000CC"/>
                  <w:position w:val="-3"/>
                  <w:sz w:val="24"/>
                  <w:szCs w:val="24"/>
                  <w:u w:val="single" w:color="000000"/>
                </w:rPr>
                <w:t>EEF Improving Mathematics guidance &amp; tutoring evidence</w:t>
              </w:r>
            </w:hyperlink>
            <w:r>
              <w:rPr>
                <w:color w:val="000000"/>
                <w:position w:val="-3"/>
                <w:sz w:val="24"/>
                <w:szCs w:val="24"/>
              </w:rPr>
              <w:t>.</w:t>
            </w:r>
          </w:p>
        </w:tc>
      </w:tr>
      <w:tr w:rsidR="00425531" w14:paraId="5AE4B8D0"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0059DCA" w14:textId="77777777" w:rsidR="00425531" w:rsidRDefault="00C85A41">
            <w:r>
              <w:rPr>
                <w:color w:val="000000"/>
                <w:position w:val="-3"/>
                <w:sz w:val="24"/>
                <w:szCs w:val="24"/>
              </w:rPr>
              <w:t>5. Improved attendance, reduced persistent absence and improved wellbeing for PP pupils so they can access learning.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2831C62" w14:textId="17FEA4F8" w:rsidR="00425531" w:rsidRDefault="00C85A41">
            <w:r>
              <w:rPr>
                <w:color w:val="000000"/>
                <w:position w:val="-3"/>
                <w:sz w:val="24"/>
                <w:szCs w:val="24"/>
              </w:rPr>
              <w:t xml:space="preserve">Attendance for </w:t>
            </w:r>
            <w:r>
              <w:rPr>
                <w:color w:val="000000"/>
                <w:position w:val="-3"/>
                <w:sz w:val="24"/>
                <w:szCs w:val="24"/>
              </w:rPr>
              <w:t>disadvantaged pupils increases; persistent absence (PA) among PP pupils reduce</w:t>
            </w:r>
            <w:r w:rsidR="00B53ACB">
              <w:rPr>
                <w:color w:val="000000"/>
                <w:position w:val="-3"/>
                <w:sz w:val="24"/>
                <w:szCs w:val="24"/>
              </w:rPr>
              <w:t xml:space="preserve">s </w:t>
            </w:r>
            <w:r>
              <w:rPr>
                <w:color w:val="000000"/>
                <w:position w:val="-3"/>
                <w:sz w:val="24"/>
                <w:szCs w:val="24"/>
              </w:rPr>
              <w:t xml:space="preserve">where targeted actions are in place. Qualitative wellbeing measures (pupil voice, pastoral records) show reduced anxiety incidents and improved engagement. </w:t>
            </w:r>
            <w:hyperlink r:id="rId23" w:history="1">
              <w:r>
                <w:rPr>
                  <w:rStyle w:val="DefaultParagraphFontPHPDOCX"/>
                  <w:color w:val="0000CC"/>
                  <w:position w:val="-3"/>
                  <w:sz w:val="24"/>
                  <w:szCs w:val="24"/>
                  <w:u w:val="single" w:color="000000"/>
                </w:rPr>
                <w:t>DfE Menu of Approaches / EEF Attendance evidence</w:t>
              </w:r>
            </w:hyperlink>
            <w:r>
              <w:rPr>
                <w:color w:val="000000"/>
                <w:position w:val="-3"/>
                <w:sz w:val="24"/>
                <w:szCs w:val="24"/>
              </w:rPr>
              <w:t xml:space="preserve"> and </w:t>
            </w:r>
            <w:hyperlink r:id="rId24" w:history="1">
              <w:r>
                <w:rPr>
                  <w:rStyle w:val="DefaultParagraphFontPHPDOCX"/>
                  <w:color w:val="0000CC"/>
                  <w:position w:val="-3"/>
                  <w:sz w:val="24"/>
                  <w:szCs w:val="24"/>
                  <w:u w:val="single" w:color="000000"/>
                </w:rPr>
                <w:t>EEF attendance evidence brief</w:t>
              </w:r>
            </w:hyperlink>
            <w:r>
              <w:rPr>
                <w:color w:val="000000"/>
                <w:position w:val="-3"/>
                <w:sz w:val="24"/>
                <w:szCs w:val="24"/>
              </w:rPr>
              <w:t>.</w:t>
            </w:r>
          </w:p>
        </w:tc>
      </w:tr>
    </w:tbl>
    <w:p w14:paraId="193B2FBC" w14:textId="77777777" w:rsidR="00B53ACB" w:rsidRDefault="00B53ACB" w:rsidP="00B53ACB">
      <w:pPr>
        <w:rPr>
          <w:color w:val="000000"/>
          <w:sz w:val="24"/>
          <w:szCs w:val="24"/>
        </w:rPr>
      </w:pPr>
    </w:p>
    <w:p w14:paraId="1D0EBEAE" w14:textId="77777777" w:rsidR="00B53ACB" w:rsidRDefault="00B53ACB">
      <w:pPr>
        <w:rPr>
          <w:color w:val="000000"/>
          <w:sz w:val="24"/>
          <w:szCs w:val="24"/>
        </w:rPr>
      </w:pPr>
      <w:r>
        <w:rPr>
          <w:color w:val="000000"/>
          <w:sz w:val="24"/>
          <w:szCs w:val="24"/>
        </w:rPr>
        <w:br w:type="page"/>
      </w:r>
    </w:p>
    <w:p w14:paraId="31CA4776" w14:textId="77777777" w:rsidR="00B53ACB" w:rsidRDefault="00B53ACB">
      <w:pPr>
        <w:numPr>
          <w:ilvl w:val="0"/>
          <w:numId w:val="17"/>
        </w:numPr>
        <w:rPr>
          <w:color w:val="000000"/>
          <w:sz w:val="24"/>
          <w:szCs w:val="24"/>
        </w:rPr>
        <w:sectPr w:rsidR="00B53ACB" w:rsidSect="00B53ACB">
          <w:headerReference w:type="default" r:id="rId25"/>
          <w:pgSz w:w="11907" w:h="16840" w:code="9"/>
          <w:pgMar w:top="1440" w:right="1440" w:bottom="1440" w:left="1440" w:header="720" w:footer="720" w:gutter="0"/>
          <w:pgNumType w:start="1"/>
          <w:cols w:space="720"/>
        </w:sectPr>
      </w:pPr>
    </w:p>
    <w:p w14:paraId="1392DBE8" w14:textId="0EA2F7F2" w:rsidR="00425531" w:rsidRPr="00DB32A0" w:rsidRDefault="00C85A41">
      <w:pPr>
        <w:numPr>
          <w:ilvl w:val="0"/>
          <w:numId w:val="17"/>
        </w:numPr>
        <w:rPr>
          <w:b/>
          <w:bCs/>
          <w:color w:val="000000"/>
          <w:sz w:val="24"/>
          <w:szCs w:val="24"/>
        </w:rPr>
      </w:pPr>
      <w:r w:rsidRPr="00DB32A0">
        <w:rPr>
          <w:b/>
          <w:bCs/>
          <w:color w:val="000000"/>
          <w:sz w:val="24"/>
          <w:szCs w:val="24"/>
        </w:rPr>
        <w:lastRenderedPageBreak/>
        <w:t>Activity in This Academic Year</w:t>
      </w:r>
    </w:p>
    <w:p w14:paraId="040B0CAE" w14:textId="77777777" w:rsidR="00425531" w:rsidRPr="00DB32A0" w:rsidRDefault="00C85A41">
      <w:pPr>
        <w:spacing w:before="240" w:after="240"/>
        <w:rPr>
          <w:b/>
          <w:bCs/>
        </w:rPr>
      </w:pPr>
      <w:r w:rsidRPr="00DB32A0">
        <w:rPr>
          <w:b/>
          <w:bCs/>
          <w:color w:val="000000"/>
          <w:sz w:val="24"/>
          <w:szCs w:val="24"/>
        </w:rPr>
        <w:t xml:space="preserve">Teaching (Tier 1: High‑Quality Teaching — CPD, </w:t>
      </w:r>
      <w:r w:rsidRPr="00DB32A0">
        <w:rPr>
          <w:b/>
          <w:bCs/>
          <w:color w:val="000000"/>
          <w:sz w:val="24"/>
          <w:szCs w:val="24"/>
        </w:rPr>
        <w:t>curriculum, recruitment)</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6481"/>
        <w:gridCol w:w="6499"/>
        <w:gridCol w:w="968"/>
      </w:tblGrid>
      <w:tr w:rsidR="00AF0D68" w14:paraId="51EF573C"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6F227EF" w14:textId="77777777" w:rsidR="00425531" w:rsidRDefault="00C85A41">
            <w:pPr>
              <w:jc w:val="center"/>
            </w:pPr>
            <w:r>
              <w:rPr>
                <w:b/>
                <w:bCs/>
                <w:color w:val="000000"/>
                <w:position w:val="-3"/>
                <w:sz w:val="24"/>
                <w:szCs w:val="24"/>
              </w:rPr>
              <w:t>Activity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2F2C290" w14:textId="77777777" w:rsidR="00425531" w:rsidRDefault="00C85A41">
            <w:pPr>
              <w:jc w:val="center"/>
            </w:pPr>
            <w:r>
              <w:rPr>
                <w:b/>
                <w:bCs/>
                <w:color w:val="000000"/>
                <w:position w:val="-3"/>
                <w:sz w:val="24"/>
                <w:szCs w:val="24"/>
              </w:rPr>
              <w:t>Evidence that supports this approach (source)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61EAD69" w14:textId="77777777" w:rsidR="00425531" w:rsidRDefault="00C85A41">
            <w:pPr>
              <w:jc w:val="center"/>
            </w:pPr>
            <w:r>
              <w:rPr>
                <w:b/>
                <w:bCs/>
                <w:color w:val="000000"/>
                <w:position w:val="-3"/>
                <w:sz w:val="24"/>
                <w:szCs w:val="24"/>
              </w:rPr>
              <w:t>Challenge number(s) addressed</w:t>
            </w:r>
          </w:p>
        </w:tc>
      </w:tr>
      <w:tr w:rsidR="00AF0D68" w14:paraId="174ECCB6"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5F26B37" w14:textId="7C749DDE" w:rsidR="00425531" w:rsidRDefault="00C85A41">
            <w:r>
              <w:rPr>
                <w:color w:val="000000"/>
                <w:position w:val="-3"/>
                <w:sz w:val="24"/>
                <w:szCs w:val="24"/>
              </w:rPr>
              <w:t xml:space="preserve">Implement a sequenced, </w:t>
            </w:r>
            <w:r w:rsidR="00B53ACB">
              <w:rPr>
                <w:color w:val="000000"/>
                <w:position w:val="-3"/>
                <w:sz w:val="24"/>
                <w:szCs w:val="24"/>
              </w:rPr>
              <w:t>vocabulary</w:t>
            </w:r>
            <w:r>
              <w:rPr>
                <w:color w:val="000000"/>
                <w:position w:val="-3"/>
                <w:sz w:val="24"/>
                <w:szCs w:val="24"/>
              </w:rPr>
              <w:t xml:space="preserve"> plan that explicitly maps tiered vocabulary and disciplinary knowledge across EY–Y6. Staff CPD time funded for planning and subject knowledge development (phonics, reading comprehension, vocabulary progression).</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00815B1" w14:textId="77777777" w:rsidR="00425531" w:rsidRDefault="00C85A41">
            <w:r>
              <w:rPr>
                <w:color w:val="000000"/>
                <w:position w:val="-3"/>
                <w:sz w:val="24"/>
                <w:szCs w:val="24"/>
              </w:rPr>
              <w:t xml:space="preserve">EEF guidance: Communication &amp; language approaches and Early Years / Early Literacy evidence emphasise sequencing, explicit vocabulary teaching and staff training (impact +7 months for communication approaches; early literacy +4 months) </w:t>
            </w:r>
            <w:hyperlink r:id="rId26" w:history="1">
              <w:r>
                <w:rPr>
                  <w:rStyle w:val="DefaultParagraphFontPHPDOCX"/>
                  <w:color w:val="0000CC"/>
                  <w:position w:val="-3"/>
                  <w:sz w:val="24"/>
                  <w:szCs w:val="24"/>
                  <w:u w:val="single" w:color="000000"/>
                </w:rPr>
                <w:t>EEF Communication &amp; Language / Early Literacy</w:t>
              </w:r>
            </w:hyperlink>
            <w:r>
              <w:rPr>
                <w:color w:val="000000"/>
                <w:position w:val="-3"/>
                <w:sz w:val="24"/>
                <w:szCs w:val="24"/>
              </w:rPr>
              <w:t xml:space="preserve"> and </w:t>
            </w:r>
            <w:hyperlink r:id="rId27" w:history="1">
              <w:r>
                <w:rPr>
                  <w:rStyle w:val="DefaultParagraphFontPHPDOCX"/>
                  <w:color w:val="0000CC"/>
                  <w:position w:val="-3"/>
                  <w:sz w:val="24"/>
                  <w:szCs w:val="24"/>
                  <w:u w:val="single" w:color="000000"/>
                </w:rPr>
                <w:t>EEF Early Literacy</w:t>
              </w:r>
            </w:hyperlink>
            <w:r>
              <w:rPr>
                <w:color w:val="000000"/>
                <w:position w:val="-3"/>
                <w:sz w:val="24"/>
                <w:szCs w:val="24"/>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134F2AD" w14:textId="77777777" w:rsidR="00425531" w:rsidRDefault="00C85A41">
            <w:r>
              <w:rPr>
                <w:color w:val="000000"/>
                <w:position w:val="-3"/>
                <w:sz w:val="24"/>
                <w:szCs w:val="24"/>
              </w:rPr>
              <w:t>1, 2</w:t>
            </w:r>
          </w:p>
        </w:tc>
      </w:tr>
      <w:tr w:rsidR="00AF0D68" w14:paraId="70F05297"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5103151" w14:textId="6FC37BD4" w:rsidR="00425531" w:rsidRDefault="00C85A41">
            <w:r>
              <w:rPr>
                <w:color w:val="000000"/>
                <w:position w:val="-3"/>
                <w:sz w:val="24"/>
                <w:szCs w:val="24"/>
              </w:rPr>
              <w:t xml:space="preserve">Systematic Synthetic Phonics (SSP) —strengthen </w:t>
            </w:r>
            <w:r w:rsidR="0060046D">
              <w:rPr>
                <w:color w:val="000000"/>
                <w:position w:val="-3"/>
                <w:sz w:val="24"/>
                <w:szCs w:val="24"/>
              </w:rPr>
              <w:t>th</w:t>
            </w:r>
            <w:r w:rsidR="00AF0D68">
              <w:rPr>
                <w:color w:val="000000"/>
                <w:position w:val="-3"/>
                <w:sz w:val="24"/>
                <w:szCs w:val="24"/>
              </w:rPr>
              <w:t xml:space="preserve">e interventions for Little Wandle </w:t>
            </w:r>
            <w:r>
              <w:rPr>
                <w:color w:val="000000"/>
                <w:position w:val="-3"/>
                <w:sz w:val="24"/>
                <w:szCs w:val="24"/>
              </w:rPr>
              <w:t>across Reception–KS1</w:t>
            </w:r>
            <w:r w:rsidR="00AF0D68">
              <w:rPr>
                <w:color w:val="000000"/>
                <w:position w:val="-3"/>
                <w:sz w:val="24"/>
                <w:szCs w:val="24"/>
              </w:rPr>
              <w:t xml:space="preserve"> and KS2</w:t>
            </w:r>
            <w:r>
              <w:rPr>
                <w:color w:val="000000"/>
                <w:position w:val="-3"/>
                <w:sz w:val="24"/>
                <w:szCs w:val="24"/>
              </w:rPr>
              <w:t xml:space="preserve"> with staff training, coaching and fidelity checks; ensure high‑quality catch‑up daily phonics for Y1/Y2 low attainers. Provide cover to release staff for phonics CPD and moderation.</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940CA0B" w14:textId="77777777" w:rsidR="00425531" w:rsidRDefault="00C85A41">
            <w:r>
              <w:rPr>
                <w:color w:val="000000"/>
                <w:position w:val="-3"/>
                <w:sz w:val="24"/>
                <w:szCs w:val="24"/>
              </w:rPr>
              <w:t xml:space="preserve">EEF: Phonics has strong evidence of impact (average +5 months). Implementation fidelity, training and regular assessment are key features </w:t>
            </w:r>
            <w:hyperlink r:id="rId28" w:history="1">
              <w:r>
                <w:rPr>
                  <w:rStyle w:val="DefaultParagraphFontPHPDOCX"/>
                  <w:color w:val="0000CC"/>
                  <w:position w:val="-3"/>
                  <w:sz w:val="24"/>
                  <w:szCs w:val="24"/>
                  <w:u w:val="single" w:color="000000"/>
                </w:rPr>
                <w:t>EEF Phonics toolkit</w:t>
              </w:r>
            </w:hyperlink>
            <w:r>
              <w:rPr>
                <w:color w:val="000000"/>
                <w:position w:val="-3"/>
                <w:sz w:val="24"/>
                <w:szCs w:val="24"/>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593C4C3" w14:textId="77777777" w:rsidR="00425531" w:rsidRDefault="00C85A41">
            <w:r>
              <w:rPr>
                <w:color w:val="000000"/>
                <w:position w:val="-3"/>
                <w:sz w:val="24"/>
                <w:szCs w:val="24"/>
              </w:rPr>
              <w:t>2</w:t>
            </w:r>
          </w:p>
        </w:tc>
      </w:tr>
      <w:tr w:rsidR="00AF0D68" w14:paraId="09DA3251"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E9D5E52" w14:textId="77777777" w:rsidR="00425531" w:rsidRDefault="00C85A41">
            <w:r>
              <w:rPr>
                <w:color w:val="000000"/>
                <w:position w:val="-3"/>
                <w:sz w:val="24"/>
                <w:szCs w:val="24"/>
              </w:rPr>
              <w:t>Maths curriculum development: embed Mastering Number in KS1 and strengthen teaching of fluency and reasoning in KS2; fund teacher CPD (NCETM / Maths Hub support) and release time for subject leaders to implement mastery principles and diagnostic formative assessment.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638462F" w14:textId="77777777" w:rsidR="00425531" w:rsidRDefault="00C85A41">
            <w:r>
              <w:rPr>
                <w:color w:val="000000"/>
                <w:position w:val="-3"/>
                <w:sz w:val="24"/>
                <w:szCs w:val="24"/>
              </w:rPr>
              <w:t xml:space="preserve">DfE non‑statutory maths guidance and EEF Improving Mathematics evidence emphasise mastery, diagnostic assessment and teacher professional development </w:t>
            </w:r>
            <w:hyperlink r:id="rId29" w:history="1">
              <w:r>
                <w:rPr>
                  <w:rStyle w:val="DefaultParagraphFontPHPDOCX"/>
                  <w:color w:val="0000CC"/>
                  <w:position w:val="-3"/>
                  <w:sz w:val="24"/>
                  <w:szCs w:val="24"/>
                  <w:u w:val="single" w:color="000000"/>
                </w:rPr>
                <w:t>DfE Maths guidance (KS1 &amp; KS2)</w:t>
              </w:r>
            </w:hyperlink>
            <w:r>
              <w:rPr>
                <w:color w:val="000000"/>
                <w:position w:val="-3"/>
                <w:sz w:val="24"/>
                <w:szCs w:val="24"/>
              </w:rPr>
              <w:t xml:space="preserve"> and </w:t>
            </w:r>
            <w:hyperlink r:id="rId30" w:history="1">
              <w:r>
                <w:rPr>
                  <w:rStyle w:val="DefaultParagraphFontPHPDOCX"/>
                  <w:color w:val="0000CC"/>
                  <w:position w:val="-3"/>
                  <w:sz w:val="24"/>
                  <w:szCs w:val="24"/>
                  <w:u w:val="single" w:color="000000"/>
                </w:rPr>
                <w:t>EEF Improving Mathematics guidance</w:t>
              </w:r>
            </w:hyperlink>
            <w:r>
              <w:rPr>
                <w:color w:val="000000"/>
                <w:position w:val="-3"/>
                <w:sz w:val="24"/>
                <w:szCs w:val="24"/>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7E93D1C" w14:textId="77777777" w:rsidR="00425531" w:rsidRDefault="00C85A41">
            <w:r>
              <w:rPr>
                <w:color w:val="000000"/>
                <w:position w:val="-3"/>
                <w:sz w:val="24"/>
                <w:szCs w:val="24"/>
              </w:rPr>
              <w:t>4</w:t>
            </w:r>
          </w:p>
        </w:tc>
      </w:tr>
      <w:tr w:rsidR="00AF0D68" w14:paraId="720F81DC"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2C90A6C" w14:textId="39725520" w:rsidR="00425531" w:rsidRDefault="00C85A41">
            <w:r>
              <w:rPr>
                <w:color w:val="000000"/>
                <w:position w:val="-3"/>
                <w:sz w:val="24"/>
                <w:szCs w:val="24"/>
              </w:rPr>
              <w:t xml:space="preserve">High‑quality instructional coaching and mentoring (including targeted support for ECTs and staff new to role).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5A17F2A" w14:textId="77777777" w:rsidR="00425531" w:rsidRDefault="00C85A41">
            <w:r>
              <w:rPr>
                <w:color w:val="000000"/>
                <w:position w:val="-3"/>
                <w:sz w:val="24"/>
                <w:szCs w:val="24"/>
              </w:rPr>
              <w:t xml:space="preserve">EEF &amp; DfE highlight CPD and coaching as effective for improving teaching quality; DfE menu prioritises </w:t>
            </w:r>
            <w:r>
              <w:rPr>
                <w:color w:val="000000"/>
                <w:position w:val="-3"/>
                <w:sz w:val="24"/>
                <w:szCs w:val="24"/>
              </w:rPr>
              <w:lastRenderedPageBreak/>
              <w:t xml:space="preserve">professional development within high‑quality teaching. EEF implementation guidance stresses coaching and sustained PD. </w:t>
            </w:r>
            <w:hyperlink r:id="rId31" w:history="1">
              <w:r>
                <w:rPr>
                  <w:rStyle w:val="DefaultParagraphFontPHPDOCX"/>
                  <w:color w:val="0000CC"/>
                  <w:position w:val="-3"/>
                  <w:sz w:val="24"/>
                  <w:szCs w:val="24"/>
                  <w:u w:val="single" w:color="000000"/>
                </w:rPr>
                <w:t>DfE Menu of Approaches</w:t>
              </w:r>
            </w:hyperlink>
            <w:r>
              <w:rPr>
                <w:color w:val="000000"/>
                <w:position w:val="-3"/>
                <w:sz w:val="24"/>
                <w:szCs w:val="24"/>
              </w:rPr>
              <w:t xml:space="preserve"> and </w:t>
            </w:r>
            <w:hyperlink r:id="rId32" w:history="1">
              <w:r>
                <w:rPr>
                  <w:rStyle w:val="DefaultParagraphFontPHPDOCX"/>
                  <w:color w:val="0000CC"/>
                  <w:position w:val="-3"/>
                  <w:sz w:val="24"/>
                  <w:szCs w:val="24"/>
                  <w:u w:val="single" w:color="000000"/>
                </w:rPr>
                <w:t>EEF Implementation guidance</w:t>
              </w:r>
            </w:hyperlink>
            <w:r>
              <w:rPr>
                <w:color w:val="000000"/>
                <w:position w:val="-3"/>
                <w:sz w:val="24"/>
                <w:szCs w:val="24"/>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F98555C" w14:textId="77777777" w:rsidR="00425531" w:rsidRDefault="00C85A41">
            <w:r>
              <w:rPr>
                <w:color w:val="000000"/>
                <w:position w:val="-3"/>
                <w:sz w:val="24"/>
                <w:szCs w:val="24"/>
              </w:rPr>
              <w:lastRenderedPageBreak/>
              <w:t>1, 2, 4</w:t>
            </w:r>
          </w:p>
        </w:tc>
      </w:tr>
      <w:tr w:rsidR="00AF0D68" w14:paraId="7788265E"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7F5D426" w14:textId="77777777" w:rsidR="00425531" w:rsidRDefault="00C85A41">
            <w:r>
              <w:rPr>
                <w:color w:val="000000"/>
                <w:position w:val="-3"/>
                <w:sz w:val="24"/>
                <w:szCs w:val="24"/>
              </w:rPr>
              <w:t>Curriculum‑embedded dialogic talk &amp; oracy (Incidental Talk / ShREC approaches): train staff to use guided discussion, planned speaking frames and story‑based vocabulary routines; apply across mixed‑age classes and the Early Years.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CD8A022" w14:textId="77777777" w:rsidR="00425531" w:rsidRDefault="00C85A41">
            <w:r>
              <w:rPr>
                <w:color w:val="000000"/>
                <w:position w:val="-3"/>
                <w:sz w:val="24"/>
                <w:szCs w:val="24"/>
              </w:rPr>
              <w:t xml:space="preserve">EEF early years and primary guidance: high‑quality talk, guided reading and dialogic activities support vocabulary development and comprehension (communication &amp; language evidence) </w:t>
            </w:r>
            <w:hyperlink r:id="rId33" w:history="1">
              <w:r>
                <w:rPr>
                  <w:rStyle w:val="DefaultParagraphFontPHPDOCX"/>
                  <w:color w:val="0000CC"/>
                  <w:position w:val="-3"/>
                  <w:sz w:val="24"/>
                  <w:szCs w:val="24"/>
                  <w:u w:val="single" w:color="000000"/>
                </w:rPr>
                <w:t>EEF Communication &amp; Language</w:t>
              </w:r>
            </w:hyperlink>
            <w:r>
              <w:rPr>
                <w:color w:val="000000"/>
                <w:position w:val="-3"/>
                <w:sz w:val="24"/>
                <w:szCs w:val="24"/>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D83E229" w14:textId="77777777" w:rsidR="00425531" w:rsidRDefault="00C85A41">
            <w:r>
              <w:rPr>
                <w:color w:val="000000"/>
                <w:position w:val="-3"/>
                <w:sz w:val="24"/>
                <w:szCs w:val="24"/>
              </w:rPr>
              <w:t>1, 2</w:t>
            </w:r>
          </w:p>
        </w:tc>
      </w:tr>
      <w:tr w:rsidR="00AF0D68" w14:paraId="35CFFB6F"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D34DE82" w14:textId="77777777" w:rsidR="00425531" w:rsidRDefault="00C85A41">
            <w:r>
              <w:rPr>
                <w:color w:val="000000"/>
                <w:position w:val="-3"/>
                <w:sz w:val="24"/>
                <w:szCs w:val="24"/>
              </w:rPr>
              <w:t>Improve assessment and diagnostic systems: purchase/maintain standardised reading &amp; maths diagnostic tools; train staff to interpret data and use for targeted planning.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048EC88" w14:textId="77777777" w:rsidR="00425531" w:rsidRDefault="00C85A41">
            <w:r>
              <w:rPr>
                <w:color w:val="000000"/>
                <w:position w:val="-3"/>
                <w:sz w:val="24"/>
                <w:szCs w:val="24"/>
              </w:rPr>
              <w:t xml:space="preserve">EEF: Standardised diagnostic assessments give reliable insights and help target interventions effectively </w:t>
            </w:r>
            <w:hyperlink r:id="rId34" w:history="1">
              <w:r>
                <w:rPr>
                  <w:rStyle w:val="DefaultParagraphFontPHPDOCX"/>
                  <w:color w:val="0000CC"/>
                  <w:position w:val="-3"/>
                  <w:sz w:val="24"/>
                  <w:szCs w:val="24"/>
                  <w:u w:val="single" w:color="000000"/>
                </w:rPr>
                <w:t>EEF Assessing and Monitoring Pupil Progress</w:t>
              </w:r>
            </w:hyperlink>
            <w:r>
              <w:rPr>
                <w:color w:val="000000"/>
                <w:position w:val="-3"/>
                <w:sz w:val="24"/>
                <w:szCs w:val="24"/>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8A6E5EF" w14:textId="77777777" w:rsidR="00425531" w:rsidRDefault="00C85A41">
            <w:r>
              <w:rPr>
                <w:color w:val="000000"/>
                <w:position w:val="-3"/>
                <w:sz w:val="24"/>
                <w:szCs w:val="24"/>
              </w:rPr>
              <w:t>1, 2, 4, 3</w:t>
            </w:r>
          </w:p>
        </w:tc>
      </w:tr>
    </w:tbl>
    <w:p w14:paraId="06EDA3AD" w14:textId="77777777" w:rsidR="00425531" w:rsidRPr="00DB32A0" w:rsidRDefault="00C85A41">
      <w:pPr>
        <w:spacing w:before="240" w:after="240"/>
        <w:rPr>
          <w:b/>
          <w:bCs/>
        </w:rPr>
      </w:pPr>
      <w:r w:rsidRPr="00DB32A0">
        <w:rPr>
          <w:b/>
          <w:bCs/>
          <w:color w:val="000000"/>
          <w:sz w:val="24"/>
          <w:szCs w:val="24"/>
        </w:rPr>
        <w:t>Targeted Academic Support (Tier 2: Tutoring, small groups, SEND interventions)</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6084"/>
        <w:gridCol w:w="6855"/>
        <w:gridCol w:w="1009"/>
      </w:tblGrid>
      <w:tr w:rsidR="009D71A0" w14:paraId="3BA6D117"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5ACC8DC" w14:textId="77777777" w:rsidR="00425531" w:rsidRDefault="00C85A41">
            <w:pPr>
              <w:jc w:val="center"/>
            </w:pPr>
            <w:r>
              <w:rPr>
                <w:b/>
                <w:bCs/>
                <w:color w:val="000000"/>
                <w:position w:val="-3"/>
                <w:sz w:val="24"/>
                <w:szCs w:val="24"/>
              </w:rPr>
              <w:t>Activity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0A295C9" w14:textId="77777777" w:rsidR="00425531" w:rsidRDefault="00C85A41">
            <w:pPr>
              <w:jc w:val="center"/>
            </w:pPr>
            <w:r>
              <w:rPr>
                <w:b/>
                <w:bCs/>
                <w:color w:val="000000"/>
                <w:position w:val="-3"/>
                <w:sz w:val="24"/>
                <w:szCs w:val="24"/>
              </w:rPr>
              <w:t>Evidence that supports this approach (source)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8590F24" w14:textId="77777777" w:rsidR="00425531" w:rsidRDefault="00C85A41">
            <w:pPr>
              <w:jc w:val="center"/>
            </w:pPr>
            <w:r>
              <w:rPr>
                <w:b/>
                <w:bCs/>
                <w:color w:val="000000"/>
                <w:position w:val="-3"/>
                <w:sz w:val="24"/>
                <w:szCs w:val="24"/>
              </w:rPr>
              <w:t>Challenge number(s) addressed</w:t>
            </w:r>
          </w:p>
        </w:tc>
      </w:tr>
      <w:tr w:rsidR="009D71A0" w14:paraId="653F160E"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9B0203F" w14:textId="52FA92E8" w:rsidR="00425531" w:rsidRDefault="00C85A41">
            <w:r>
              <w:rPr>
                <w:color w:val="000000"/>
                <w:position w:val="-3"/>
                <w:sz w:val="24"/>
                <w:szCs w:val="24"/>
              </w:rPr>
              <w:t>Targeted maths</w:t>
            </w:r>
            <w:r w:rsidR="00AF0D68">
              <w:rPr>
                <w:color w:val="000000"/>
                <w:position w:val="-3"/>
                <w:sz w:val="24"/>
                <w:szCs w:val="24"/>
              </w:rPr>
              <w:t xml:space="preserve"> support in KS1, through teaching maths in single age</w:t>
            </w:r>
            <w:r w:rsidR="009D71A0">
              <w:rPr>
                <w:color w:val="000000"/>
                <w:position w:val="-3"/>
                <w:sz w:val="24"/>
                <w:szCs w:val="24"/>
              </w:rPr>
              <w:t xml:space="preserve"> groups</w:t>
            </w:r>
            <w:r>
              <w:rPr>
                <w:color w:val="000000"/>
                <w:position w:val="-3"/>
                <w:sz w:val="24"/>
                <w:szCs w:val="24"/>
              </w:rPr>
              <w:t xml:space="preserve"> focused on identified gaps;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4D1CFE7" w14:textId="77777777" w:rsidR="00425531" w:rsidRDefault="00C85A41">
            <w:r>
              <w:rPr>
                <w:color w:val="000000"/>
                <w:position w:val="-3"/>
                <w:sz w:val="24"/>
                <w:szCs w:val="24"/>
              </w:rPr>
              <w:t xml:space="preserve">EEF: Small‑group tuition is effective when targeted and aligned to classroom teaching (tuition can deliver +3–5 months when well implemented). EEF tutoring guidance and trials emphasise frequency, alignment, and sustainable models </w:t>
            </w:r>
            <w:hyperlink r:id="rId35" w:history="1">
              <w:r>
                <w:rPr>
                  <w:rStyle w:val="DefaultParagraphFontPHPDOCX"/>
                  <w:color w:val="0000CC"/>
                  <w:position w:val="-3"/>
                  <w:sz w:val="24"/>
                  <w:szCs w:val="24"/>
                  <w:u w:val="single" w:color="000000"/>
                </w:rPr>
                <w:t>EEF Making a Difference with Effective Tutoring / Promising Programmes</w:t>
              </w:r>
            </w:hyperlink>
            <w:r>
              <w:rPr>
                <w:color w:val="000000"/>
                <w:position w:val="-3"/>
                <w:sz w:val="24"/>
                <w:szCs w:val="24"/>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021A18B" w14:textId="77777777" w:rsidR="00425531" w:rsidRDefault="00C85A41">
            <w:r>
              <w:rPr>
                <w:color w:val="000000"/>
                <w:position w:val="-3"/>
                <w:sz w:val="24"/>
                <w:szCs w:val="24"/>
              </w:rPr>
              <w:t>4</w:t>
            </w:r>
          </w:p>
        </w:tc>
      </w:tr>
      <w:tr w:rsidR="009D71A0" w14:paraId="7EA75D1C"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03DF8A5" w14:textId="27649F47" w:rsidR="00425531" w:rsidRDefault="00C85A41">
            <w:r>
              <w:rPr>
                <w:color w:val="000000"/>
                <w:position w:val="-3"/>
                <w:sz w:val="24"/>
                <w:szCs w:val="24"/>
              </w:rPr>
              <w:lastRenderedPageBreak/>
              <w:t xml:space="preserve">One‑to‑one or very small‑group phonics catch‑up (for </w:t>
            </w:r>
            <w:r>
              <w:rPr>
                <w:color w:val="000000"/>
                <w:position w:val="-3"/>
                <w:sz w:val="24"/>
                <w:szCs w:val="24"/>
              </w:rPr>
              <w:t>Reception–Y2</w:t>
            </w:r>
            <w:r w:rsidR="009D71A0">
              <w:rPr>
                <w:color w:val="000000"/>
                <w:position w:val="-3"/>
                <w:sz w:val="24"/>
                <w:szCs w:val="24"/>
              </w:rPr>
              <w:t>, KS2</w:t>
            </w:r>
            <w:r>
              <w:rPr>
                <w:color w:val="000000"/>
                <w:position w:val="-3"/>
                <w:sz w:val="24"/>
                <w:szCs w:val="24"/>
              </w:rPr>
              <w:t xml:space="preserve"> pupils at risk; school‑led tutoring delivered by trained TAs/teachers; regular assessment and group movement.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4789873" w14:textId="77777777" w:rsidR="00425531" w:rsidRDefault="00C85A41">
            <w:r>
              <w:rPr>
                <w:color w:val="000000"/>
                <w:position w:val="-3"/>
                <w:sz w:val="24"/>
                <w:szCs w:val="24"/>
              </w:rPr>
              <w:t xml:space="preserve">EEF Phonics evidence: targeted, frequent phonics interventions have strong impact (Phonics +5 months; one‑to‑one more impactful than small groups when necessary). </w:t>
            </w:r>
            <w:hyperlink r:id="rId36" w:history="1">
              <w:r>
                <w:rPr>
                  <w:rStyle w:val="DefaultParagraphFontPHPDOCX"/>
                  <w:color w:val="0000CC"/>
                  <w:position w:val="-3"/>
                  <w:sz w:val="24"/>
                  <w:szCs w:val="24"/>
                  <w:u w:val="single" w:color="000000"/>
                </w:rPr>
                <w:t>EEF Phonics</w:t>
              </w:r>
            </w:hyperlink>
            <w:r>
              <w:rPr>
                <w:color w:val="000000"/>
                <w:position w:val="-3"/>
                <w:sz w:val="24"/>
                <w:szCs w:val="24"/>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17D4AB2" w14:textId="77777777" w:rsidR="00425531" w:rsidRDefault="00C85A41">
            <w:r>
              <w:rPr>
                <w:color w:val="000000"/>
                <w:position w:val="-3"/>
                <w:sz w:val="24"/>
                <w:szCs w:val="24"/>
              </w:rPr>
              <w:t>2</w:t>
            </w:r>
          </w:p>
        </w:tc>
      </w:tr>
      <w:tr w:rsidR="009D71A0" w14:paraId="10C0A780"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FEBC0F2" w14:textId="77777777" w:rsidR="00425531" w:rsidRDefault="00C85A41">
            <w:r>
              <w:rPr>
                <w:color w:val="000000"/>
                <w:position w:val="-3"/>
                <w:sz w:val="24"/>
                <w:szCs w:val="24"/>
              </w:rPr>
              <w:t>SEND‑specific interventions and TA deployment: fund additional targeted hours for teaching assistants trained in structured interventions (precision teaching, small‑group maths/literacy approaches), and provide specialist SEND CPD (including SEMH strategies).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255F44F" w14:textId="77777777" w:rsidR="00425531" w:rsidRDefault="00C85A41">
            <w:r>
              <w:rPr>
                <w:color w:val="000000"/>
                <w:position w:val="-3"/>
                <w:sz w:val="24"/>
                <w:szCs w:val="24"/>
              </w:rPr>
              <w:t xml:space="preserve">EEF: Teaching assistant deployment can be effective when TAs are trained, deployed for structured interventions and linked closely to teacher planning [EEF Teaching Assistants guidance]. For SEND, targeted interventions that match needs support progress. </w:t>
            </w:r>
            <w:hyperlink r:id="rId37" w:history="1">
              <w:r>
                <w:rPr>
                  <w:rStyle w:val="DefaultParagraphFontPHPDOCX"/>
                  <w:color w:val="0000CC"/>
                  <w:position w:val="-3"/>
                  <w:sz w:val="24"/>
                  <w:szCs w:val="24"/>
                  <w:u w:val="single" w:color="000000"/>
                </w:rPr>
                <w:t>EEF Guidance &amp; Promising Programmes</w:t>
              </w:r>
            </w:hyperlink>
            <w:r>
              <w:rPr>
                <w:color w:val="000000"/>
                <w:position w:val="-3"/>
                <w:sz w:val="24"/>
                <w:szCs w:val="24"/>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68A3FDB" w14:textId="77777777" w:rsidR="00425531" w:rsidRDefault="00C85A41">
            <w:r>
              <w:rPr>
                <w:color w:val="000000"/>
                <w:position w:val="-3"/>
                <w:sz w:val="24"/>
                <w:szCs w:val="24"/>
              </w:rPr>
              <w:t>3</w:t>
            </w:r>
          </w:p>
        </w:tc>
      </w:tr>
      <w:tr w:rsidR="00EE23E7" w14:paraId="7688BFE7" w14:textId="77777777" w:rsidTr="00807D06">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tcPr>
          <w:p w14:paraId="2A0E1C4C" w14:textId="77777777" w:rsidR="00EE23E7" w:rsidRPr="00EE23E7" w:rsidRDefault="00EE23E7" w:rsidP="00EE23E7">
            <w:pPr>
              <w:spacing w:before="60" w:after="120"/>
              <w:ind w:left="28" w:right="57"/>
              <w:rPr>
                <w:sz w:val="24"/>
                <w:szCs w:val="24"/>
              </w:rPr>
            </w:pPr>
            <w:r w:rsidRPr="00EE23E7">
              <w:rPr>
                <w:sz w:val="24"/>
                <w:szCs w:val="24"/>
              </w:rPr>
              <w:t>Enhancement of our maths teaching and curriculum planning in line with DfE and EEF guidance.</w:t>
            </w:r>
          </w:p>
          <w:p w14:paraId="2FD71C0F" w14:textId="7A60628D" w:rsidR="00EE23E7" w:rsidRPr="00EE23E7" w:rsidRDefault="00EE23E7" w:rsidP="00EE23E7">
            <w:pPr>
              <w:rPr>
                <w:color w:val="000000"/>
                <w:position w:val="-3"/>
                <w:sz w:val="24"/>
                <w:szCs w:val="24"/>
              </w:rPr>
            </w:pPr>
            <w:r w:rsidRPr="00EE23E7">
              <w:rPr>
                <w:sz w:val="24"/>
                <w:szCs w:val="24"/>
              </w:rPr>
              <w:t>We will fund teacher release time to embed key elements of guidance in school and to access Maths Hub resources and CPD (including Teaching for Mastery training).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tcPr>
          <w:p w14:paraId="5EB1BE58" w14:textId="77777777" w:rsidR="00EE23E7" w:rsidRPr="00EE23E7" w:rsidRDefault="00EE23E7" w:rsidP="00EE23E7">
            <w:pPr>
              <w:spacing w:before="60" w:after="60"/>
              <w:ind w:left="57" w:right="57"/>
              <w:rPr>
                <w:iCs/>
                <w:sz w:val="24"/>
                <w:szCs w:val="24"/>
              </w:rPr>
            </w:pPr>
            <w:r w:rsidRPr="00EE23E7">
              <w:rPr>
                <w:iCs/>
                <w:sz w:val="24"/>
                <w:szCs w:val="24"/>
              </w:rPr>
              <w:t xml:space="preserve">The DfE non-statutory guidance has been produced in conjunction with the National Centre for Excellence in the Teaching of Mathematics, drawing on evidence-based approaches: </w:t>
            </w:r>
          </w:p>
          <w:p w14:paraId="63E03160" w14:textId="77777777" w:rsidR="00EE23E7" w:rsidRPr="00EE23E7" w:rsidRDefault="00EE23E7" w:rsidP="00EE23E7">
            <w:pPr>
              <w:spacing w:before="60" w:after="120"/>
              <w:ind w:left="57" w:right="57"/>
              <w:rPr>
                <w:iCs/>
                <w:color w:val="0070C0"/>
                <w:sz w:val="24"/>
                <w:szCs w:val="24"/>
              </w:rPr>
            </w:pPr>
            <w:hyperlink r:id="rId38" w:history="1">
              <w:r w:rsidRPr="00EE23E7">
                <w:rPr>
                  <w:color w:val="0070C0"/>
                  <w:sz w:val="24"/>
                  <w:szCs w:val="24"/>
                  <w:u w:val="single"/>
                </w:rPr>
                <w:t>Maths_guidance_KS_1_and_2.pdf (publishing.service.gov.uk)</w:t>
              </w:r>
            </w:hyperlink>
          </w:p>
          <w:p w14:paraId="2AD30FEF" w14:textId="77777777" w:rsidR="00EE23E7" w:rsidRPr="00EE23E7" w:rsidRDefault="00EE23E7" w:rsidP="00EE23E7">
            <w:pPr>
              <w:spacing w:before="120" w:after="60"/>
              <w:ind w:left="57" w:right="57"/>
              <w:rPr>
                <w:sz w:val="24"/>
                <w:szCs w:val="24"/>
              </w:rPr>
            </w:pPr>
            <w:r w:rsidRPr="00EE23E7">
              <w:rPr>
                <w:sz w:val="24"/>
                <w:szCs w:val="24"/>
              </w:rPr>
              <w:t xml:space="preserve">The EEF guidance is based on a range of the best available evidence: </w:t>
            </w:r>
          </w:p>
          <w:p w14:paraId="6A5C38FF" w14:textId="7E17186A" w:rsidR="00EE23E7" w:rsidRDefault="00EE23E7" w:rsidP="00EE23E7">
            <w:pPr>
              <w:rPr>
                <w:color w:val="000000"/>
                <w:position w:val="-3"/>
                <w:sz w:val="24"/>
                <w:szCs w:val="24"/>
              </w:rPr>
            </w:pPr>
            <w:hyperlink r:id="rId39" w:history="1">
              <w:r w:rsidRPr="00EE23E7">
                <w:rPr>
                  <w:rStyle w:val="Hyperlink"/>
                  <w:color w:val="0070C0"/>
                  <w:szCs w:val="24"/>
                </w:rPr>
                <w:t>Improving Mathematics in Key Stages 2 and 3</w:t>
              </w:r>
            </w:hyperlink>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F038EC3" w14:textId="53F11CF7" w:rsidR="00EE23E7" w:rsidRDefault="00EE23E7" w:rsidP="00EE23E7">
            <w:pPr>
              <w:rPr>
                <w:color w:val="000000"/>
                <w:position w:val="-3"/>
                <w:sz w:val="24"/>
                <w:szCs w:val="24"/>
              </w:rPr>
            </w:pPr>
            <w:r>
              <w:rPr>
                <w:color w:val="000000"/>
                <w:position w:val="-3"/>
                <w:sz w:val="24"/>
                <w:szCs w:val="24"/>
              </w:rPr>
              <w:t>3</w:t>
            </w:r>
          </w:p>
        </w:tc>
      </w:tr>
    </w:tbl>
    <w:p w14:paraId="7CA3FC2C" w14:textId="77777777" w:rsidR="00425531" w:rsidRPr="00DB32A0" w:rsidRDefault="00C85A41">
      <w:pPr>
        <w:spacing w:before="240" w:after="240"/>
        <w:rPr>
          <w:b/>
          <w:bCs/>
        </w:rPr>
      </w:pPr>
      <w:r w:rsidRPr="00DB32A0">
        <w:rPr>
          <w:b/>
          <w:bCs/>
          <w:color w:val="000000"/>
          <w:sz w:val="24"/>
          <w:szCs w:val="24"/>
        </w:rPr>
        <w:t>Wider Strategies (Tier 3: SEMH, attendance, enrichment, basic needs)</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6304"/>
        <w:gridCol w:w="6658"/>
        <w:gridCol w:w="986"/>
      </w:tblGrid>
      <w:tr w:rsidR="00425531" w14:paraId="5D906F84"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A0E2BFB" w14:textId="77777777" w:rsidR="00425531" w:rsidRDefault="00C85A41">
            <w:pPr>
              <w:jc w:val="center"/>
            </w:pPr>
            <w:r>
              <w:rPr>
                <w:b/>
                <w:bCs/>
                <w:color w:val="000000"/>
                <w:position w:val="-3"/>
                <w:sz w:val="24"/>
                <w:szCs w:val="24"/>
              </w:rPr>
              <w:t>Activity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CBA09BC" w14:textId="77777777" w:rsidR="00425531" w:rsidRDefault="00C85A41">
            <w:pPr>
              <w:jc w:val="center"/>
            </w:pPr>
            <w:r>
              <w:rPr>
                <w:b/>
                <w:bCs/>
                <w:color w:val="000000"/>
                <w:position w:val="-3"/>
                <w:sz w:val="24"/>
                <w:szCs w:val="24"/>
              </w:rPr>
              <w:t>Evidence that supports this approach (source)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8144B10" w14:textId="77777777" w:rsidR="00425531" w:rsidRDefault="00C85A41">
            <w:pPr>
              <w:jc w:val="center"/>
            </w:pPr>
            <w:r>
              <w:rPr>
                <w:b/>
                <w:bCs/>
                <w:color w:val="000000"/>
                <w:position w:val="-3"/>
                <w:sz w:val="24"/>
                <w:szCs w:val="24"/>
              </w:rPr>
              <w:t xml:space="preserve">Challenge number(s) </w:t>
            </w:r>
            <w:r>
              <w:rPr>
                <w:b/>
                <w:bCs/>
                <w:color w:val="000000"/>
                <w:position w:val="-3"/>
                <w:sz w:val="24"/>
                <w:szCs w:val="24"/>
              </w:rPr>
              <w:t>addressed</w:t>
            </w:r>
          </w:p>
        </w:tc>
      </w:tr>
      <w:tr w:rsidR="00425531" w14:paraId="3BB6F580"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912F878" w14:textId="77777777" w:rsidR="00425531" w:rsidRDefault="00C85A41">
            <w:r>
              <w:rPr>
                <w:color w:val="000000"/>
                <w:position w:val="-3"/>
                <w:sz w:val="24"/>
                <w:szCs w:val="24"/>
              </w:rPr>
              <w:lastRenderedPageBreak/>
              <w:t>Expand pastoral capacity: fund ELSA training, counselling/play therapy sessions and specialist SEMH support (use SEMH enhanced resource base expertise to support mainstream pupils). Build multi‑disciplinary meetings (SENCo, pastoral lead, family liaison) and monitor impact.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7D2BB15" w14:textId="77777777" w:rsidR="00425531" w:rsidRDefault="00C85A41">
            <w:r>
              <w:rPr>
                <w:color w:val="000000"/>
                <w:position w:val="-3"/>
                <w:sz w:val="24"/>
                <w:szCs w:val="24"/>
              </w:rPr>
              <w:t xml:space="preserve">EEF: SEL interventions produce positive academic and wellbeing effects (average +3 months) and targeted SEMH support improves engagement; trained pastoral staff increase the chance of effective delivery </w:t>
            </w:r>
            <w:hyperlink r:id="rId40" w:history="1">
              <w:r>
                <w:rPr>
                  <w:rStyle w:val="DefaultParagraphFontPHPDOCX"/>
                  <w:color w:val="0000CC"/>
                  <w:position w:val="-3"/>
                  <w:sz w:val="24"/>
                  <w:szCs w:val="24"/>
                  <w:u w:val="single" w:color="000000"/>
                </w:rPr>
                <w:t>EEF Social and Emotional Learning guidance</w:t>
              </w:r>
            </w:hyperlink>
            <w:r>
              <w:rPr>
                <w:color w:val="000000"/>
                <w:position w:val="-3"/>
                <w:sz w:val="24"/>
                <w:szCs w:val="24"/>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A5FE3E8" w14:textId="77777777" w:rsidR="00425531" w:rsidRDefault="00C85A41">
            <w:r>
              <w:rPr>
                <w:color w:val="000000"/>
                <w:position w:val="-3"/>
                <w:sz w:val="24"/>
                <w:szCs w:val="24"/>
              </w:rPr>
              <w:t>3, 5</w:t>
            </w:r>
          </w:p>
        </w:tc>
      </w:tr>
      <w:tr w:rsidR="00425531" w14:paraId="388BE03D"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4F50E82" w14:textId="1F06BB45" w:rsidR="00425531" w:rsidRDefault="00EC49AE">
            <w:r>
              <w:rPr>
                <w:color w:val="000000"/>
                <w:position w:val="-3"/>
                <w:sz w:val="24"/>
                <w:szCs w:val="24"/>
              </w:rPr>
              <w:t xml:space="preserve">Continue to use statutory powers around attendance, use of office staff to maintain </w:t>
            </w:r>
            <w:r w:rsidR="001E4D48">
              <w:rPr>
                <w:color w:val="000000"/>
                <w:position w:val="-3"/>
                <w:sz w:val="24"/>
                <w:szCs w:val="24"/>
              </w:rPr>
              <w:t>attendance</w:t>
            </w:r>
            <w:r w:rsidR="004A1773">
              <w:rPr>
                <w:color w:val="000000"/>
                <w:position w:val="-3"/>
                <w:sz w:val="24"/>
                <w:szCs w:val="24"/>
              </w:rPr>
              <w:t xml:space="preserve"> spreadsheet of actions and weekly attendance figures.</w:t>
            </w:r>
            <w:r w:rsidR="001E4D48">
              <w:rPr>
                <w:color w:val="000000"/>
                <w:position w:val="-3"/>
                <w:sz w:val="24"/>
                <w:szCs w:val="24"/>
              </w:rPr>
              <w:t>HT to continue to hold PCM meetings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83A775A" w14:textId="77777777" w:rsidR="00425531" w:rsidRDefault="00C85A41">
            <w:r>
              <w:rPr>
                <w:color w:val="000000"/>
                <w:position w:val="-3"/>
                <w:sz w:val="24"/>
                <w:szCs w:val="24"/>
              </w:rPr>
              <w:t xml:space="preserve">DfE guidance and EEF evidence: targeted parental communication and local, responsive attendance planning can reduce absence; EEF attendance evidence brief summarises promising approaches </w:t>
            </w:r>
            <w:hyperlink r:id="rId41" w:history="1">
              <w:r>
                <w:rPr>
                  <w:rStyle w:val="DefaultParagraphFontPHPDOCX"/>
                  <w:color w:val="0000CC"/>
                  <w:position w:val="-3"/>
                  <w:sz w:val="24"/>
                  <w:szCs w:val="24"/>
                  <w:u w:val="single" w:color="000000"/>
                </w:rPr>
                <w:t>DfE Using Pupil Premium / Improving school attendance guidance</w:t>
              </w:r>
            </w:hyperlink>
            <w:r>
              <w:rPr>
                <w:color w:val="000000"/>
                <w:position w:val="-3"/>
                <w:sz w:val="24"/>
                <w:szCs w:val="24"/>
              </w:rPr>
              <w:t xml:space="preserve"> and </w:t>
            </w:r>
            <w:hyperlink r:id="rId42" w:history="1">
              <w:r>
                <w:rPr>
                  <w:rStyle w:val="DefaultParagraphFontPHPDOCX"/>
                  <w:color w:val="0000CC"/>
                  <w:position w:val="-3"/>
                  <w:sz w:val="24"/>
                  <w:szCs w:val="24"/>
                  <w:u w:val="single" w:color="000000"/>
                </w:rPr>
                <w:t>EEF evidence brief on attendance</w:t>
              </w:r>
            </w:hyperlink>
            <w:r>
              <w:rPr>
                <w:color w:val="000000"/>
                <w:position w:val="-3"/>
                <w:sz w:val="24"/>
                <w:szCs w:val="24"/>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601A7B6" w14:textId="77777777" w:rsidR="00425531" w:rsidRDefault="00C85A41">
            <w:r>
              <w:rPr>
                <w:color w:val="000000"/>
                <w:position w:val="-3"/>
                <w:sz w:val="24"/>
                <w:szCs w:val="24"/>
              </w:rPr>
              <w:t>5</w:t>
            </w:r>
          </w:p>
        </w:tc>
      </w:tr>
      <w:tr w:rsidR="00425531" w14:paraId="37F8D0CA"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9264605" w14:textId="073D0764" w:rsidR="00425531" w:rsidRDefault="00C85A41">
            <w:r>
              <w:rPr>
                <w:color w:val="000000"/>
                <w:position w:val="-3"/>
                <w:sz w:val="24"/>
                <w:szCs w:val="24"/>
              </w:rPr>
              <w:t>Breakfast club and in‑school essentials support (food, hygiene packs, subsidised uniform/trips/food signposting). Priority access for PP families.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C59210E" w14:textId="77777777" w:rsidR="00425531" w:rsidRDefault="00C85A41">
            <w:r>
              <w:rPr>
                <w:color w:val="000000"/>
                <w:position w:val="-3"/>
                <w:sz w:val="24"/>
                <w:szCs w:val="24"/>
              </w:rPr>
              <w:t>EEF &amp; DfE: Provision of breakfasts and ensuring pupils are ready to learn addresses non‑academic barriers to learning; DfE menu includes breakfast clubs and meal provision as Tier 3 strategies [DfE Using Pupil Premium guidance / EEF attendance &amp; wider strategies].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255FDDE" w14:textId="77777777" w:rsidR="00425531" w:rsidRDefault="00C85A41">
            <w:r>
              <w:rPr>
                <w:color w:val="000000"/>
                <w:position w:val="-3"/>
                <w:sz w:val="24"/>
                <w:szCs w:val="24"/>
              </w:rPr>
              <w:t>5</w:t>
            </w:r>
          </w:p>
        </w:tc>
      </w:tr>
      <w:tr w:rsidR="00425531" w14:paraId="42918FD1"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F6EB67E" w14:textId="4B51382E" w:rsidR="00425531" w:rsidRDefault="00C85A41">
            <w:r>
              <w:rPr>
                <w:color w:val="000000"/>
                <w:position w:val="-3"/>
                <w:sz w:val="24"/>
                <w:szCs w:val="24"/>
              </w:rPr>
              <w:t>Subsidised enrichment and curriculum visits / residentials / cultural trips for PP pupils; in‑school enrichment (OPAL playground provision) to broaden experiences and vocabulary.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55BD9D7" w14:textId="77777777" w:rsidR="00425531" w:rsidRDefault="00C85A41">
            <w:r>
              <w:rPr>
                <w:color w:val="000000"/>
                <w:position w:val="-3"/>
                <w:sz w:val="24"/>
                <w:szCs w:val="24"/>
              </w:rPr>
              <w:t>EEF: Extra‑curricular and cultural experiences increase engagement and build background knowledge which supports reading comprehension and vocabulary. DfE menu includes extra‑curricular activities as a wider strategy [DfE Using Pupil Premium guidance].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FC0CD52" w14:textId="77777777" w:rsidR="00425531" w:rsidRDefault="00C85A41">
            <w:r>
              <w:rPr>
                <w:color w:val="000000"/>
                <w:position w:val="-3"/>
                <w:sz w:val="24"/>
                <w:szCs w:val="24"/>
              </w:rPr>
              <w:t>1, 5</w:t>
            </w:r>
          </w:p>
        </w:tc>
      </w:tr>
      <w:tr w:rsidR="00425531" w14:paraId="1E6A191E"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5471446" w14:textId="77777777" w:rsidR="00425531" w:rsidRDefault="00C85A41">
            <w:r>
              <w:rPr>
                <w:color w:val="000000"/>
                <w:position w:val="-3"/>
                <w:sz w:val="24"/>
                <w:szCs w:val="24"/>
              </w:rPr>
              <w:t xml:space="preserve">Family engagement &amp; parental support offer: run accessible parent </w:t>
            </w:r>
            <w:r>
              <w:rPr>
                <w:color w:val="000000"/>
                <w:position w:val="-3"/>
                <w:sz w:val="24"/>
                <w:szCs w:val="24"/>
              </w:rPr>
              <w:t>workshops (phonics at home, reading with children, maths talk), flexible timings, translated resources where required; family liaison home visits for the most vulnerable.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2E1A8FA" w14:textId="77777777" w:rsidR="00425531" w:rsidRDefault="00C85A41">
            <w:r>
              <w:rPr>
                <w:color w:val="000000"/>
                <w:position w:val="-3"/>
                <w:sz w:val="24"/>
                <w:szCs w:val="24"/>
              </w:rPr>
              <w:t>EEF: Parental engagement interventions have an average impact of +5 months, particularly when targeted to specific families and outcomes [EEF Parental Engagement]. DfE/Pupil Premium guidance recommends parental engagement as a Tier 3 approach.</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61C8012" w14:textId="77777777" w:rsidR="00425531" w:rsidRDefault="00C85A41">
            <w:r>
              <w:rPr>
                <w:color w:val="000000"/>
                <w:position w:val="-3"/>
                <w:sz w:val="24"/>
                <w:szCs w:val="24"/>
              </w:rPr>
              <w:t>1, 2, 5</w:t>
            </w:r>
          </w:p>
        </w:tc>
      </w:tr>
      <w:tr w:rsidR="00425531" w14:paraId="5B52759E"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75260EC" w14:textId="7510C0F6" w:rsidR="00425531" w:rsidRDefault="00C85A41">
            <w:r>
              <w:rPr>
                <w:color w:val="000000"/>
                <w:position w:val="-3"/>
                <w:sz w:val="24"/>
                <w:szCs w:val="24"/>
              </w:rPr>
              <w:lastRenderedPageBreak/>
              <w:t>Targeted support for energy / food insecurity: signpost families to local welfare and benefits advice, arrange emergency food/hygiene support and work with local charities</w:t>
            </w:r>
            <w:r w:rsidR="001E4D48">
              <w:rPr>
                <w:color w:val="000000"/>
                <w:position w:val="-3"/>
                <w:sz w:val="24"/>
                <w:szCs w:val="24"/>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E5D3372" w14:textId="77777777" w:rsidR="00425531" w:rsidRDefault="00C85A41">
            <w:r>
              <w:rPr>
                <w:color w:val="000000"/>
                <w:position w:val="-3"/>
                <w:sz w:val="24"/>
                <w:szCs w:val="24"/>
              </w:rPr>
              <w:t>Non‑academic barriers (food/energy insecurity) undermine attendance and learning; DfE and EEF recommend addressing material needs as part of wider strategies to improve readiness to learn and attendance [DfE Using Pupil Premium guidance / EEF attendance brief].</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88B83F7" w14:textId="77777777" w:rsidR="00425531" w:rsidRDefault="00C85A41">
            <w:r>
              <w:rPr>
                <w:color w:val="000000"/>
                <w:position w:val="-3"/>
                <w:sz w:val="24"/>
                <w:szCs w:val="24"/>
              </w:rPr>
              <w:t>5</w:t>
            </w:r>
          </w:p>
        </w:tc>
      </w:tr>
    </w:tbl>
    <w:p w14:paraId="057714E7" w14:textId="77777777" w:rsidR="00425531" w:rsidRDefault="00C85A41">
      <w:pPr>
        <w:spacing w:before="240" w:after="240"/>
      </w:pPr>
      <w:r>
        <w:rPr>
          <w:color w:val="000000"/>
          <w:sz w:val="24"/>
          <w:szCs w:val="24"/>
        </w:rPr>
        <w:t>Implementation, Monitoring and Evaluation (summary)</w:t>
      </w:r>
    </w:p>
    <w:p w14:paraId="4469A7FA" w14:textId="77777777" w:rsidR="00425531" w:rsidRDefault="00C85A41">
      <w:pPr>
        <w:numPr>
          <w:ilvl w:val="0"/>
          <w:numId w:val="8"/>
        </w:numPr>
        <w:rPr>
          <w:color w:val="000000"/>
          <w:sz w:val="24"/>
          <w:szCs w:val="24"/>
        </w:rPr>
      </w:pPr>
      <w:r>
        <w:rPr>
          <w:color w:val="000000"/>
          <w:sz w:val="24"/>
          <w:szCs w:val="24"/>
        </w:rPr>
        <w:t xml:space="preserve">Leadership and governance: the Headteacher, SLT and Governor (PP link) will review and approve the strategy; use termly reviews and half‑termly data checks. The SENCo and pastoral lead will co‑ordinate SEND/SEMH responses. DfE expects publication and annual update of PP strategy and evidence‑led approach </w:t>
      </w:r>
      <w:hyperlink r:id="rId43" w:history="1">
        <w:r>
          <w:rPr>
            <w:rStyle w:val="DefaultParagraphFontPHPDOCX"/>
            <w:color w:val="0000CC"/>
            <w:sz w:val="24"/>
            <w:szCs w:val="24"/>
            <w:u w:val="single" w:color="000000"/>
          </w:rPr>
          <w:t>DfE Using Pupil Premium guidance</w:t>
        </w:r>
      </w:hyperlink>
      <w:r>
        <w:rPr>
          <w:color w:val="000000"/>
          <w:sz w:val="24"/>
          <w:szCs w:val="24"/>
        </w:rPr>
        <w:t>.</w:t>
      </w:r>
    </w:p>
    <w:p w14:paraId="245DF54B" w14:textId="77777777" w:rsidR="00425531" w:rsidRDefault="00C85A41">
      <w:pPr>
        <w:numPr>
          <w:ilvl w:val="0"/>
          <w:numId w:val="8"/>
        </w:numPr>
        <w:rPr>
          <w:color w:val="000000"/>
          <w:sz w:val="24"/>
          <w:szCs w:val="24"/>
        </w:rPr>
      </w:pPr>
      <w:r>
        <w:rPr>
          <w:color w:val="000000"/>
          <w:sz w:val="24"/>
          <w:szCs w:val="24"/>
        </w:rPr>
        <w:t xml:space="preserve">Cycles of evaluation: baseline and termly progress measures for reading, phonics, maths; attendance and SEMH </w:t>
      </w:r>
      <w:r>
        <w:rPr>
          <w:color w:val="000000"/>
          <w:sz w:val="24"/>
          <w:szCs w:val="24"/>
        </w:rPr>
        <w:t>monitoring; intervention fidelity checks; pupil and parent surveys; governor termly challenge.</w:t>
      </w:r>
    </w:p>
    <w:p w14:paraId="4397FF0F" w14:textId="77777777" w:rsidR="00425531" w:rsidRDefault="00C85A41">
      <w:pPr>
        <w:numPr>
          <w:ilvl w:val="0"/>
          <w:numId w:val="8"/>
        </w:numPr>
        <w:rPr>
          <w:color w:val="000000"/>
          <w:sz w:val="24"/>
          <w:szCs w:val="24"/>
        </w:rPr>
      </w:pPr>
      <w:r>
        <w:rPr>
          <w:color w:val="000000"/>
          <w:sz w:val="24"/>
          <w:szCs w:val="24"/>
        </w:rPr>
        <w:t>Success measures are the Intended Outcomes (section 3) with interim milestones (termly targets for progress, attendance, phonics scores and SEMH referrals).</w:t>
      </w:r>
    </w:p>
    <w:p w14:paraId="3920C0DC" w14:textId="77777777" w:rsidR="00425531" w:rsidRDefault="00C85A41">
      <w:pPr>
        <w:numPr>
          <w:ilvl w:val="0"/>
          <w:numId w:val="8"/>
        </w:numPr>
        <w:rPr>
          <w:color w:val="000000"/>
          <w:sz w:val="24"/>
          <w:szCs w:val="24"/>
        </w:rPr>
      </w:pPr>
      <w:r>
        <w:rPr>
          <w:color w:val="000000"/>
          <w:sz w:val="24"/>
          <w:szCs w:val="24"/>
        </w:rPr>
        <w:t>Costing and sustainability: prioritise approaches with high evidence and reasonable cost per pupil (e.g. staff CPD, TA‑delivered structured programmes, targeted small‑group tuition) and pilot more expensive external provision before scale.</w:t>
      </w:r>
    </w:p>
    <w:p w14:paraId="38938CAB" w14:textId="77777777" w:rsidR="00425531" w:rsidRDefault="00C85A41">
      <w:pPr>
        <w:numPr>
          <w:ilvl w:val="0"/>
          <w:numId w:val="8"/>
        </w:numPr>
        <w:rPr>
          <w:color w:val="000000"/>
          <w:sz w:val="24"/>
          <w:szCs w:val="24"/>
        </w:rPr>
      </w:pPr>
      <w:r>
        <w:rPr>
          <w:color w:val="000000"/>
          <w:sz w:val="24"/>
          <w:szCs w:val="24"/>
        </w:rPr>
        <w:t>Risk management: monitor implementation fidelity (training &amp; coaching), capacity (staff workload), and whether interventions displace regular class teaching; adapt where tuition negatively affects classroom time.</w:t>
      </w:r>
    </w:p>
    <w:p w14:paraId="02A36580" w14:textId="77777777" w:rsidR="00FF4D48" w:rsidRDefault="00FF4D48" w:rsidP="00FF4D48">
      <w:pPr>
        <w:rPr>
          <w:color w:val="000000"/>
          <w:sz w:val="24"/>
          <w:szCs w:val="24"/>
        </w:rPr>
      </w:pPr>
    </w:p>
    <w:p w14:paraId="1B21D754" w14:textId="3FC63578" w:rsidR="00FF4D48" w:rsidRDefault="00FF4D48" w:rsidP="00FF4D48">
      <w:pPr>
        <w:rPr>
          <w:b/>
          <w:bCs/>
          <w:color w:val="000000"/>
          <w:sz w:val="24"/>
          <w:szCs w:val="24"/>
        </w:rPr>
      </w:pPr>
      <w:r w:rsidRPr="00FF4D48">
        <w:rPr>
          <w:b/>
          <w:bCs/>
          <w:color w:val="000000"/>
          <w:sz w:val="24"/>
          <w:szCs w:val="24"/>
        </w:rPr>
        <w:t>Review of the previous academic Year 2024 2025</w:t>
      </w:r>
    </w:p>
    <w:tbl>
      <w:tblPr>
        <w:tblStyle w:val="TableGrid"/>
        <w:tblW w:w="0" w:type="auto"/>
        <w:tblLook w:val="04A0" w:firstRow="1" w:lastRow="0" w:firstColumn="1" w:lastColumn="0" w:noHBand="0" w:noVBand="1"/>
      </w:tblPr>
      <w:tblGrid>
        <w:gridCol w:w="13950"/>
      </w:tblGrid>
      <w:tr w:rsidR="00E159A1" w:rsidRPr="00087D2E" w14:paraId="0481F784" w14:textId="77777777" w:rsidTr="003657A4">
        <w:tc>
          <w:tcPr>
            <w:tcW w:w="14560" w:type="dxa"/>
          </w:tcPr>
          <w:p w14:paraId="2E613E56" w14:textId="77777777" w:rsidR="00E159A1" w:rsidRPr="00087D2E" w:rsidRDefault="00E159A1" w:rsidP="003657A4">
            <w:pPr>
              <w:pStyle w:val="Heading3"/>
              <w:rPr>
                <w:b w:val="0"/>
                <w:bCs/>
                <w:color w:val="000000"/>
                <w:sz w:val="24"/>
                <w:szCs w:val="24"/>
              </w:rPr>
            </w:pPr>
            <w:r w:rsidRPr="00087D2E">
              <w:rPr>
                <w:b w:val="0"/>
                <w:color w:val="000000"/>
                <w:sz w:val="24"/>
                <w:szCs w:val="24"/>
              </w:rPr>
              <w:lastRenderedPageBreak/>
              <w:t>We have analysed the performance of our school’s disadvantaged pupils during the previous academic year, drawing on national assessment data and our own internal summative and formative assessments.</w:t>
            </w:r>
          </w:p>
          <w:p w14:paraId="63A140FB" w14:textId="77777777" w:rsidR="00E159A1" w:rsidRDefault="00E159A1" w:rsidP="003657A4">
            <w:pPr>
              <w:pStyle w:val="Heading3"/>
            </w:pPr>
            <w:r>
              <w:t xml:space="preserve">Teaching </w:t>
            </w:r>
          </w:p>
          <w:p w14:paraId="58163D6F" w14:textId="22DF6EBF" w:rsidR="00A134C6" w:rsidRDefault="00A134C6" w:rsidP="00A134C6">
            <w:pPr>
              <w:pStyle w:val="ListParagraph"/>
              <w:numPr>
                <w:ilvl w:val="0"/>
                <w:numId w:val="24"/>
              </w:numPr>
              <w:rPr>
                <w:sz w:val="24"/>
                <w:szCs w:val="24"/>
              </w:rPr>
            </w:pPr>
            <w:r w:rsidRPr="00A134C6">
              <w:rPr>
                <w:sz w:val="24"/>
                <w:szCs w:val="24"/>
              </w:rPr>
              <w:t xml:space="preserve">Due to small cohorts of </w:t>
            </w:r>
            <w:r w:rsidR="002C63D7">
              <w:rPr>
                <w:sz w:val="24"/>
                <w:szCs w:val="24"/>
              </w:rPr>
              <w:t>children,</w:t>
            </w:r>
            <w:r>
              <w:rPr>
                <w:sz w:val="24"/>
                <w:szCs w:val="24"/>
              </w:rPr>
              <w:t xml:space="preserve"> it is ha</w:t>
            </w:r>
            <w:r w:rsidR="006E205E">
              <w:rPr>
                <w:sz w:val="24"/>
                <w:szCs w:val="24"/>
              </w:rPr>
              <w:t>rd to make statistical analysis of outcomes for pupils in receipt of PPG in statutory assessment</w:t>
            </w:r>
            <w:r w:rsidR="009438F9">
              <w:rPr>
                <w:sz w:val="24"/>
                <w:szCs w:val="24"/>
              </w:rPr>
              <w:t>s at the end of 2024/25 as this would identify pupils</w:t>
            </w:r>
            <w:r w:rsidR="003F5D86">
              <w:rPr>
                <w:sz w:val="24"/>
                <w:szCs w:val="24"/>
              </w:rPr>
              <w:t xml:space="preserve">. Last year outcomes </w:t>
            </w:r>
            <w:r w:rsidR="003E3742">
              <w:rPr>
                <w:sz w:val="24"/>
                <w:szCs w:val="24"/>
              </w:rPr>
              <w:t>for d</w:t>
            </w:r>
            <w:r w:rsidR="003E3742" w:rsidRPr="003E3742">
              <w:rPr>
                <w:sz w:val="24"/>
                <w:szCs w:val="24"/>
              </w:rPr>
              <w:t xml:space="preserve">isadvantaged pupils - Reading, writing and mathematics </w:t>
            </w:r>
            <w:r w:rsidR="003E3742">
              <w:rPr>
                <w:sz w:val="24"/>
                <w:szCs w:val="24"/>
              </w:rPr>
              <w:t xml:space="preserve">combined at the </w:t>
            </w:r>
            <w:r w:rsidR="003E3742" w:rsidRPr="003E3742">
              <w:rPr>
                <w:sz w:val="24"/>
                <w:szCs w:val="24"/>
              </w:rPr>
              <w:t>expected standard</w:t>
            </w:r>
            <w:r w:rsidR="003E3742">
              <w:rPr>
                <w:sz w:val="24"/>
                <w:szCs w:val="24"/>
              </w:rPr>
              <w:t xml:space="preserve"> </w:t>
            </w:r>
            <w:r w:rsidR="003F5D86">
              <w:rPr>
                <w:sz w:val="24"/>
                <w:szCs w:val="24"/>
              </w:rPr>
              <w:t xml:space="preserve">were </w:t>
            </w:r>
            <w:r w:rsidR="003E3742">
              <w:rPr>
                <w:sz w:val="24"/>
                <w:szCs w:val="24"/>
              </w:rPr>
              <w:t>slightly above national but there were only two pupils.</w:t>
            </w:r>
          </w:p>
          <w:p w14:paraId="3FC8E835" w14:textId="75CD1BF8" w:rsidR="002450C4" w:rsidRDefault="002450C4" w:rsidP="00A134C6">
            <w:pPr>
              <w:pStyle w:val="ListParagraph"/>
              <w:numPr>
                <w:ilvl w:val="0"/>
                <w:numId w:val="24"/>
              </w:numPr>
              <w:rPr>
                <w:sz w:val="24"/>
                <w:szCs w:val="24"/>
              </w:rPr>
            </w:pPr>
            <w:r>
              <w:rPr>
                <w:sz w:val="24"/>
                <w:szCs w:val="24"/>
              </w:rPr>
              <w:t>Children in receipt of PPG have made progress from their starting points</w:t>
            </w:r>
            <w:r w:rsidR="008D2786">
              <w:rPr>
                <w:sz w:val="24"/>
                <w:szCs w:val="24"/>
              </w:rPr>
              <w:t>.</w:t>
            </w:r>
          </w:p>
          <w:p w14:paraId="126DF8EE" w14:textId="6482E0A8" w:rsidR="00A97347" w:rsidRDefault="00A97347" w:rsidP="00A134C6">
            <w:pPr>
              <w:pStyle w:val="ListParagraph"/>
              <w:numPr>
                <w:ilvl w:val="0"/>
                <w:numId w:val="24"/>
              </w:numPr>
              <w:rPr>
                <w:sz w:val="24"/>
                <w:szCs w:val="24"/>
              </w:rPr>
            </w:pPr>
            <w:r>
              <w:rPr>
                <w:sz w:val="24"/>
                <w:szCs w:val="24"/>
              </w:rPr>
              <w:t>Maths Mastery has been implemented in Year 5</w:t>
            </w:r>
            <w:r w:rsidR="002A1428">
              <w:rPr>
                <w:sz w:val="24"/>
                <w:szCs w:val="24"/>
              </w:rPr>
              <w:t>.</w:t>
            </w:r>
          </w:p>
          <w:p w14:paraId="474667B5" w14:textId="588311B4" w:rsidR="002A1428" w:rsidRDefault="002A1428" w:rsidP="00A134C6">
            <w:pPr>
              <w:pStyle w:val="ListParagraph"/>
              <w:numPr>
                <w:ilvl w:val="0"/>
                <w:numId w:val="24"/>
              </w:numPr>
              <w:rPr>
                <w:sz w:val="24"/>
                <w:szCs w:val="24"/>
              </w:rPr>
            </w:pPr>
            <w:r>
              <w:rPr>
                <w:sz w:val="24"/>
                <w:szCs w:val="24"/>
              </w:rPr>
              <w:t>Shelley Steer remains our evidence advocate.</w:t>
            </w:r>
          </w:p>
          <w:p w14:paraId="2BAF682C" w14:textId="56E2AFD1" w:rsidR="005F2845" w:rsidRDefault="005F2845" w:rsidP="00A134C6">
            <w:pPr>
              <w:pStyle w:val="ListParagraph"/>
              <w:numPr>
                <w:ilvl w:val="0"/>
                <w:numId w:val="24"/>
              </w:numPr>
              <w:rPr>
                <w:sz w:val="24"/>
                <w:szCs w:val="24"/>
              </w:rPr>
            </w:pPr>
            <w:r>
              <w:rPr>
                <w:sz w:val="24"/>
                <w:szCs w:val="24"/>
              </w:rPr>
              <w:t xml:space="preserve">Staff continue to use </w:t>
            </w:r>
            <w:r w:rsidRPr="005F2845">
              <w:rPr>
                <w:sz w:val="24"/>
                <w:szCs w:val="24"/>
              </w:rPr>
              <w:t>Number Readiness and Maths Mastery Readiness training and the Y4/5 programme.</w:t>
            </w:r>
          </w:p>
          <w:p w14:paraId="2F69B87C" w14:textId="2B8379C7" w:rsidR="005F2845" w:rsidRPr="00A134C6" w:rsidRDefault="005F2845" w:rsidP="00A134C6">
            <w:pPr>
              <w:pStyle w:val="ListParagraph"/>
              <w:numPr>
                <w:ilvl w:val="0"/>
                <w:numId w:val="24"/>
              </w:numPr>
              <w:rPr>
                <w:sz w:val="24"/>
                <w:szCs w:val="24"/>
              </w:rPr>
            </w:pPr>
            <w:r>
              <w:rPr>
                <w:sz w:val="24"/>
                <w:szCs w:val="24"/>
              </w:rPr>
              <w:t>All teaching remains good.</w:t>
            </w:r>
          </w:p>
          <w:p w14:paraId="3C46D1EC" w14:textId="77777777" w:rsidR="00E159A1" w:rsidRDefault="00E159A1" w:rsidP="003657A4">
            <w:pPr>
              <w:rPr>
                <w:b/>
                <w:bCs/>
                <w:color w:val="000000" w:themeColor="text1"/>
                <w:sz w:val="28"/>
                <w:szCs w:val="28"/>
              </w:rPr>
            </w:pPr>
            <w:r w:rsidRPr="008D2786">
              <w:rPr>
                <w:b/>
                <w:bCs/>
                <w:color w:val="000000" w:themeColor="text1"/>
                <w:sz w:val="28"/>
                <w:szCs w:val="28"/>
              </w:rPr>
              <w:t xml:space="preserve">Targeted academic support </w:t>
            </w:r>
          </w:p>
          <w:p w14:paraId="79263337" w14:textId="0D5F9CC4" w:rsidR="00DE3C69" w:rsidRDefault="00CA5772" w:rsidP="00DE3C69">
            <w:pPr>
              <w:pStyle w:val="ListParagraph"/>
              <w:numPr>
                <w:ilvl w:val="0"/>
                <w:numId w:val="25"/>
              </w:numPr>
              <w:rPr>
                <w:color w:val="000000" w:themeColor="text1"/>
                <w:sz w:val="24"/>
                <w:szCs w:val="24"/>
              </w:rPr>
            </w:pPr>
            <w:r w:rsidRPr="006626D4">
              <w:rPr>
                <w:color w:val="000000" w:themeColor="text1"/>
                <w:sz w:val="24"/>
                <w:szCs w:val="24"/>
              </w:rPr>
              <w:t>Standardised Assessments are supporting progress</w:t>
            </w:r>
            <w:r w:rsidR="0052769C">
              <w:rPr>
                <w:color w:val="000000" w:themeColor="text1"/>
                <w:sz w:val="24"/>
                <w:szCs w:val="24"/>
              </w:rPr>
              <w:t>.</w:t>
            </w:r>
          </w:p>
          <w:p w14:paraId="3076009C" w14:textId="265D0C74" w:rsidR="0052769C" w:rsidRPr="006626D4" w:rsidRDefault="0052769C" w:rsidP="00DE3C69">
            <w:pPr>
              <w:pStyle w:val="ListParagraph"/>
              <w:numPr>
                <w:ilvl w:val="0"/>
                <w:numId w:val="25"/>
              </w:numPr>
              <w:rPr>
                <w:color w:val="000000" w:themeColor="text1"/>
                <w:sz w:val="24"/>
                <w:szCs w:val="24"/>
              </w:rPr>
            </w:pPr>
            <w:r>
              <w:rPr>
                <w:color w:val="000000" w:themeColor="text1"/>
                <w:sz w:val="24"/>
                <w:szCs w:val="24"/>
              </w:rPr>
              <w:t>Staff remain committed to the maths hub work</w:t>
            </w:r>
          </w:p>
          <w:p w14:paraId="03F0246D" w14:textId="77777777" w:rsidR="00E159A1" w:rsidRPr="008D2786" w:rsidRDefault="00E159A1" w:rsidP="003657A4">
            <w:pPr>
              <w:rPr>
                <w:b/>
                <w:color w:val="000000" w:themeColor="text1"/>
                <w:sz w:val="28"/>
                <w:szCs w:val="28"/>
              </w:rPr>
            </w:pPr>
            <w:r w:rsidRPr="008D2786">
              <w:rPr>
                <w:b/>
                <w:color w:val="000000" w:themeColor="text1"/>
                <w:sz w:val="28"/>
                <w:szCs w:val="28"/>
              </w:rPr>
              <w:t xml:space="preserve">Wider strategies </w:t>
            </w:r>
          </w:p>
          <w:p w14:paraId="2CC16C10" w14:textId="546B9BED" w:rsidR="006E6ECC" w:rsidRDefault="006E6ECC" w:rsidP="005805C2">
            <w:pPr>
              <w:pStyle w:val="ListParagraph"/>
              <w:numPr>
                <w:ilvl w:val="0"/>
                <w:numId w:val="23"/>
              </w:numPr>
              <w:rPr>
                <w:bCs/>
                <w:color w:val="000000" w:themeColor="text1"/>
                <w:sz w:val="24"/>
                <w:szCs w:val="24"/>
              </w:rPr>
            </w:pPr>
            <w:r w:rsidRPr="005805C2">
              <w:rPr>
                <w:bCs/>
                <w:color w:val="000000" w:themeColor="text1"/>
                <w:sz w:val="24"/>
                <w:szCs w:val="24"/>
              </w:rPr>
              <w:t>Attendance 202</w:t>
            </w:r>
            <w:r w:rsidRPr="005805C2">
              <w:rPr>
                <w:bCs/>
                <w:color w:val="000000" w:themeColor="text1"/>
                <w:sz w:val="24"/>
                <w:szCs w:val="24"/>
              </w:rPr>
              <w:t>4/25</w:t>
            </w:r>
            <w:r w:rsidRPr="005805C2">
              <w:rPr>
                <w:bCs/>
                <w:color w:val="000000" w:themeColor="text1"/>
                <w:sz w:val="24"/>
                <w:szCs w:val="24"/>
              </w:rPr>
              <w:tab/>
              <w:t>26</w:t>
            </w:r>
            <w:r w:rsidRPr="005805C2">
              <w:rPr>
                <w:bCs/>
                <w:color w:val="000000" w:themeColor="text1"/>
                <w:sz w:val="24"/>
                <w:szCs w:val="24"/>
              </w:rPr>
              <w:t xml:space="preserve"> children were </w:t>
            </w:r>
            <w:r w:rsidR="005805C2" w:rsidRPr="005805C2">
              <w:rPr>
                <w:bCs/>
                <w:color w:val="000000" w:themeColor="text1"/>
                <w:sz w:val="24"/>
                <w:szCs w:val="24"/>
              </w:rPr>
              <w:t>eligible</w:t>
            </w:r>
            <w:r w:rsidRPr="005805C2">
              <w:rPr>
                <w:bCs/>
                <w:color w:val="000000" w:themeColor="text1"/>
                <w:sz w:val="24"/>
                <w:szCs w:val="24"/>
              </w:rPr>
              <w:t xml:space="preserve"> of PPG </w:t>
            </w:r>
            <w:r w:rsidR="005805C2" w:rsidRPr="005805C2">
              <w:rPr>
                <w:bCs/>
                <w:color w:val="000000" w:themeColor="text1"/>
                <w:sz w:val="24"/>
                <w:szCs w:val="24"/>
              </w:rPr>
              <w:t>their</w:t>
            </w:r>
            <w:r w:rsidR="005A37E5" w:rsidRPr="005805C2">
              <w:rPr>
                <w:bCs/>
                <w:color w:val="000000" w:themeColor="text1"/>
                <w:sz w:val="24"/>
                <w:szCs w:val="24"/>
              </w:rPr>
              <w:t xml:space="preserve"> attendance was </w:t>
            </w:r>
            <w:r w:rsidRPr="005805C2">
              <w:rPr>
                <w:bCs/>
                <w:color w:val="000000" w:themeColor="text1"/>
                <w:sz w:val="24"/>
                <w:szCs w:val="24"/>
              </w:rPr>
              <w:t>92.6</w:t>
            </w:r>
            <w:r w:rsidR="005A37E5" w:rsidRPr="005805C2">
              <w:rPr>
                <w:bCs/>
                <w:color w:val="000000" w:themeColor="text1"/>
                <w:sz w:val="24"/>
                <w:szCs w:val="24"/>
              </w:rPr>
              <w:t>% which was in</w:t>
            </w:r>
            <w:r w:rsidR="009438F9">
              <w:rPr>
                <w:bCs/>
                <w:color w:val="000000" w:themeColor="text1"/>
                <w:sz w:val="24"/>
                <w:szCs w:val="24"/>
              </w:rPr>
              <w:t>l</w:t>
            </w:r>
            <w:r w:rsidR="005A37E5" w:rsidRPr="005805C2">
              <w:rPr>
                <w:bCs/>
                <w:color w:val="000000" w:themeColor="text1"/>
                <w:sz w:val="24"/>
                <w:szCs w:val="24"/>
              </w:rPr>
              <w:t>ine with na</w:t>
            </w:r>
            <w:r w:rsidR="005805C2" w:rsidRPr="005805C2">
              <w:rPr>
                <w:bCs/>
                <w:color w:val="000000" w:themeColor="text1"/>
                <w:sz w:val="24"/>
                <w:szCs w:val="24"/>
              </w:rPr>
              <w:t>tional attendance for the same group of pupils. It must be noted that there is a h</w:t>
            </w:r>
            <w:r w:rsidRPr="005805C2">
              <w:rPr>
                <w:bCs/>
                <w:color w:val="000000" w:themeColor="text1"/>
                <w:sz w:val="24"/>
                <w:szCs w:val="24"/>
              </w:rPr>
              <w:t xml:space="preserve">igh </w:t>
            </w:r>
            <w:r w:rsidR="005805C2" w:rsidRPr="005805C2">
              <w:rPr>
                <w:bCs/>
                <w:color w:val="000000" w:themeColor="text1"/>
                <w:sz w:val="24"/>
                <w:szCs w:val="24"/>
              </w:rPr>
              <w:t>level of –</w:t>
            </w:r>
            <w:r w:rsidRPr="005805C2">
              <w:rPr>
                <w:bCs/>
                <w:color w:val="000000" w:themeColor="text1"/>
                <w:sz w:val="24"/>
                <w:szCs w:val="24"/>
              </w:rPr>
              <w:t xml:space="preserve"> SEN</w:t>
            </w:r>
            <w:r w:rsidR="005805C2" w:rsidRPr="005805C2">
              <w:rPr>
                <w:bCs/>
                <w:color w:val="000000" w:themeColor="text1"/>
                <w:sz w:val="24"/>
                <w:szCs w:val="24"/>
              </w:rPr>
              <w:t xml:space="preserve"> need in this cohort.</w:t>
            </w:r>
          </w:p>
          <w:p w14:paraId="34D20144" w14:textId="57A3405C" w:rsidR="0052769C" w:rsidRDefault="0052769C" w:rsidP="005805C2">
            <w:pPr>
              <w:pStyle w:val="ListParagraph"/>
              <w:numPr>
                <w:ilvl w:val="0"/>
                <w:numId w:val="23"/>
              </w:numPr>
              <w:rPr>
                <w:bCs/>
                <w:color w:val="000000" w:themeColor="text1"/>
                <w:sz w:val="24"/>
                <w:szCs w:val="24"/>
              </w:rPr>
            </w:pPr>
            <w:r>
              <w:rPr>
                <w:bCs/>
                <w:color w:val="000000" w:themeColor="text1"/>
                <w:sz w:val="24"/>
                <w:szCs w:val="24"/>
              </w:rPr>
              <w:t>There w</w:t>
            </w:r>
            <w:r w:rsidR="002C63D7">
              <w:rPr>
                <w:bCs/>
                <w:color w:val="000000" w:themeColor="text1"/>
                <w:sz w:val="24"/>
                <w:szCs w:val="24"/>
              </w:rPr>
              <w:t>ere no suspensions for children in receipt of PPG.</w:t>
            </w:r>
          </w:p>
          <w:p w14:paraId="2EB22D56" w14:textId="05A20D71" w:rsidR="00E159A1" w:rsidRPr="000B1FBF" w:rsidRDefault="000B1FBF" w:rsidP="003657A4">
            <w:pPr>
              <w:pStyle w:val="ListParagraph"/>
              <w:numPr>
                <w:ilvl w:val="0"/>
                <w:numId w:val="23"/>
              </w:numPr>
              <w:rPr>
                <w:bCs/>
                <w:color w:val="000000" w:themeColor="text1"/>
                <w:sz w:val="24"/>
                <w:szCs w:val="24"/>
              </w:rPr>
            </w:pPr>
            <w:r>
              <w:rPr>
                <w:bCs/>
                <w:color w:val="000000" w:themeColor="text1"/>
                <w:sz w:val="24"/>
                <w:szCs w:val="24"/>
              </w:rPr>
              <w:t>All staff have implemented the RTR training.</w:t>
            </w:r>
          </w:p>
        </w:tc>
      </w:tr>
    </w:tbl>
    <w:p w14:paraId="20740DC4" w14:textId="77777777" w:rsidR="00E159A1" w:rsidRPr="00FF4D48" w:rsidRDefault="00E159A1" w:rsidP="00FF4D48">
      <w:pPr>
        <w:rPr>
          <w:b/>
          <w:bCs/>
          <w:color w:val="000000"/>
          <w:sz w:val="24"/>
          <w:szCs w:val="24"/>
        </w:rPr>
      </w:pPr>
    </w:p>
    <w:p w14:paraId="0F88404F" w14:textId="6D101C88" w:rsidR="00425531" w:rsidRDefault="00D17CF3">
      <w:pPr>
        <w:spacing w:before="240" w:after="240"/>
      </w:pPr>
      <w:r>
        <w:rPr>
          <w:color w:val="000000"/>
          <w:sz w:val="24"/>
          <w:szCs w:val="24"/>
        </w:rPr>
        <w:t xml:space="preserve">Appendix Key Evidence  Sources </w:t>
      </w:r>
    </w:p>
    <w:p w14:paraId="7917D569" w14:textId="77777777" w:rsidR="00425531" w:rsidRDefault="00C85A41">
      <w:pPr>
        <w:numPr>
          <w:ilvl w:val="0"/>
          <w:numId w:val="8"/>
        </w:numPr>
        <w:rPr>
          <w:color w:val="000000"/>
          <w:sz w:val="24"/>
          <w:szCs w:val="24"/>
        </w:rPr>
      </w:pPr>
      <w:r>
        <w:rPr>
          <w:color w:val="000000"/>
          <w:sz w:val="24"/>
          <w:szCs w:val="24"/>
        </w:rPr>
        <w:t xml:space="preserve">EEF — Communication and language / Early Years Toolkit: Developing vocabulary and early language approaches (impact evidence) — </w:t>
      </w:r>
      <w:hyperlink r:id="rId44" w:history="1">
        <w:r>
          <w:rPr>
            <w:rStyle w:val="DefaultParagraphFontPHPDOCX"/>
            <w:color w:val="0000CC"/>
            <w:sz w:val="24"/>
            <w:szCs w:val="24"/>
            <w:u w:val="single" w:color="000000"/>
          </w:rPr>
          <w:t>Education Endowment Foundation: Developing vocabulary in early years education</w:t>
        </w:r>
      </w:hyperlink>
      <w:r>
        <w:rPr>
          <w:color w:val="000000"/>
          <w:sz w:val="24"/>
          <w:szCs w:val="24"/>
        </w:rPr>
        <w:t>.</w:t>
      </w:r>
    </w:p>
    <w:p w14:paraId="22631E9F" w14:textId="77777777" w:rsidR="00425531" w:rsidRDefault="00C85A41">
      <w:pPr>
        <w:numPr>
          <w:ilvl w:val="0"/>
          <w:numId w:val="8"/>
        </w:numPr>
        <w:rPr>
          <w:color w:val="000000"/>
          <w:sz w:val="24"/>
          <w:szCs w:val="24"/>
        </w:rPr>
      </w:pPr>
      <w:r>
        <w:rPr>
          <w:color w:val="000000"/>
          <w:sz w:val="24"/>
          <w:szCs w:val="24"/>
        </w:rPr>
        <w:t xml:space="preserve">EEF — Phonics: Teaching phonics evidence and guidance (+5 months average impact) — </w:t>
      </w:r>
      <w:hyperlink r:id="rId45" w:history="1">
        <w:r>
          <w:rPr>
            <w:rStyle w:val="DefaultParagraphFontPHPDOCX"/>
            <w:color w:val="0000CC"/>
            <w:sz w:val="24"/>
            <w:szCs w:val="24"/>
            <w:u w:val="single" w:color="000000"/>
          </w:rPr>
          <w:t>Education Endowment Foundation: Phonics</w:t>
        </w:r>
      </w:hyperlink>
      <w:r>
        <w:rPr>
          <w:color w:val="000000"/>
          <w:sz w:val="24"/>
          <w:szCs w:val="24"/>
        </w:rPr>
        <w:t>.</w:t>
      </w:r>
    </w:p>
    <w:p w14:paraId="4F9A8ECE" w14:textId="77777777" w:rsidR="00425531" w:rsidRDefault="00C85A41">
      <w:pPr>
        <w:numPr>
          <w:ilvl w:val="0"/>
          <w:numId w:val="8"/>
        </w:numPr>
        <w:rPr>
          <w:color w:val="000000"/>
          <w:sz w:val="24"/>
          <w:szCs w:val="24"/>
        </w:rPr>
      </w:pPr>
      <w:r>
        <w:rPr>
          <w:color w:val="000000"/>
          <w:sz w:val="24"/>
          <w:szCs w:val="24"/>
        </w:rPr>
        <w:t xml:space="preserve">EEF — Tutoring and Promising Programmes: evidence for one‑to‑one and small‑group tuition and guidance on effective tutoring delivery — </w:t>
      </w:r>
      <w:hyperlink r:id="rId46" w:history="1">
        <w:r>
          <w:rPr>
            <w:rStyle w:val="DefaultParagraphFontPHPDOCX"/>
            <w:color w:val="0000CC"/>
            <w:sz w:val="24"/>
            <w:szCs w:val="24"/>
            <w:u w:val="single" w:color="000000"/>
          </w:rPr>
          <w:t>Education Endowment Foundation: Promising Programmes &amp; Tutoring guidance</w:t>
        </w:r>
      </w:hyperlink>
      <w:r>
        <w:rPr>
          <w:color w:val="000000"/>
          <w:sz w:val="24"/>
          <w:szCs w:val="24"/>
        </w:rPr>
        <w:t>.</w:t>
      </w:r>
    </w:p>
    <w:p w14:paraId="776554E4" w14:textId="77777777" w:rsidR="00425531" w:rsidRDefault="00C85A41">
      <w:pPr>
        <w:numPr>
          <w:ilvl w:val="0"/>
          <w:numId w:val="8"/>
        </w:numPr>
        <w:rPr>
          <w:color w:val="000000"/>
          <w:sz w:val="24"/>
          <w:szCs w:val="24"/>
        </w:rPr>
      </w:pPr>
      <w:r>
        <w:rPr>
          <w:color w:val="000000"/>
          <w:sz w:val="24"/>
          <w:szCs w:val="24"/>
        </w:rPr>
        <w:lastRenderedPageBreak/>
        <w:t xml:space="preserve">EEF — Social and Emotional Learning (SEL): evidence and guidance for SEMH and SEL approaches — </w:t>
      </w:r>
      <w:hyperlink r:id="rId47" w:history="1">
        <w:r>
          <w:rPr>
            <w:rStyle w:val="DefaultParagraphFontPHPDOCX"/>
            <w:color w:val="0000CC"/>
            <w:sz w:val="24"/>
            <w:szCs w:val="24"/>
            <w:u w:val="single" w:color="000000"/>
          </w:rPr>
          <w:t>Education Endowment Foundation: Social and Emotional Learning</w:t>
        </w:r>
      </w:hyperlink>
      <w:r>
        <w:rPr>
          <w:color w:val="000000"/>
          <w:sz w:val="24"/>
          <w:szCs w:val="24"/>
        </w:rPr>
        <w:t>.</w:t>
      </w:r>
    </w:p>
    <w:p w14:paraId="0576A9CA" w14:textId="77777777" w:rsidR="00425531" w:rsidRDefault="00C85A41">
      <w:pPr>
        <w:numPr>
          <w:ilvl w:val="0"/>
          <w:numId w:val="8"/>
        </w:numPr>
        <w:rPr>
          <w:color w:val="000000"/>
          <w:sz w:val="24"/>
          <w:szCs w:val="24"/>
        </w:rPr>
      </w:pPr>
      <w:r>
        <w:rPr>
          <w:color w:val="000000"/>
          <w:sz w:val="24"/>
          <w:szCs w:val="24"/>
        </w:rPr>
        <w:t xml:space="preserve">EEF — Attendance evidence brief and guidance: </w:t>
      </w:r>
      <w:hyperlink r:id="rId48" w:history="1">
        <w:r>
          <w:rPr>
            <w:rStyle w:val="DefaultParagraphFontPHPDOCX"/>
            <w:color w:val="0000CC"/>
            <w:sz w:val="24"/>
            <w:szCs w:val="24"/>
            <w:u w:val="single" w:color="000000"/>
          </w:rPr>
          <w:t>Education Endowment Foundation: Evidence brief on improving attendance and support for disadvantaged pupils</w:t>
        </w:r>
      </w:hyperlink>
      <w:r>
        <w:rPr>
          <w:color w:val="000000"/>
          <w:sz w:val="24"/>
          <w:szCs w:val="24"/>
        </w:rPr>
        <w:t>.</w:t>
      </w:r>
    </w:p>
    <w:p w14:paraId="345C60B5" w14:textId="77777777" w:rsidR="00425531" w:rsidRDefault="00C85A41">
      <w:pPr>
        <w:numPr>
          <w:ilvl w:val="0"/>
          <w:numId w:val="8"/>
        </w:numPr>
        <w:rPr>
          <w:color w:val="000000"/>
          <w:sz w:val="24"/>
          <w:szCs w:val="24"/>
        </w:rPr>
      </w:pPr>
      <w:r>
        <w:rPr>
          <w:color w:val="000000"/>
          <w:sz w:val="24"/>
          <w:szCs w:val="24"/>
        </w:rPr>
        <w:t xml:space="preserve">DfE — Using Pupil Premium: Menu of Approaches, conditions and reporting expectations — </w:t>
      </w:r>
      <w:hyperlink r:id="rId49" w:history="1">
        <w:r>
          <w:rPr>
            <w:rStyle w:val="DefaultParagraphFontPHPDOCX"/>
            <w:color w:val="0000CC"/>
            <w:sz w:val="24"/>
            <w:szCs w:val="24"/>
            <w:u w:val="single" w:color="000000"/>
          </w:rPr>
          <w:t>DfE Using Pupil Premium guidance</w:t>
        </w:r>
      </w:hyperlink>
      <w:r>
        <w:rPr>
          <w:color w:val="000000"/>
          <w:sz w:val="24"/>
          <w:szCs w:val="24"/>
        </w:rPr>
        <w:t>.</w:t>
      </w:r>
    </w:p>
    <w:p w14:paraId="56F6CDAE" w14:textId="77777777" w:rsidR="00425531" w:rsidRDefault="00C85A41">
      <w:pPr>
        <w:numPr>
          <w:ilvl w:val="0"/>
          <w:numId w:val="8"/>
        </w:numPr>
        <w:rPr>
          <w:color w:val="000000"/>
          <w:sz w:val="24"/>
          <w:szCs w:val="24"/>
        </w:rPr>
      </w:pPr>
      <w:r>
        <w:rPr>
          <w:color w:val="000000"/>
          <w:sz w:val="24"/>
          <w:szCs w:val="24"/>
        </w:rPr>
        <w:t xml:space="preserve">DfE — Improving school attendance guidance and resources — </w:t>
      </w:r>
      <w:hyperlink r:id="rId50" w:history="1">
        <w:r>
          <w:rPr>
            <w:rStyle w:val="DefaultParagraphFontPHPDOCX"/>
            <w:color w:val="0000CC"/>
            <w:sz w:val="24"/>
            <w:szCs w:val="24"/>
            <w:u w:val="single" w:color="000000"/>
          </w:rPr>
          <w:t>DfE Improving school attendance: support for schools and local authorities</w:t>
        </w:r>
      </w:hyperlink>
      <w:r>
        <w:rPr>
          <w:color w:val="000000"/>
          <w:sz w:val="24"/>
          <w:szCs w:val="24"/>
        </w:rPr>
        <w:t>.</w:t>
      </w:r>
    </w:p>
    <w:p w14:paraId="553D6274" w14:textId="77777777" w:rsidR="00425531" w:rsidRDefault="00C85A41">
      <w:pPr>
        <w:spacing w:before="240" w:after="240"/>
      </w:pPr>
      <w:r>
        <w:rPr>
          <w:color w:val="000000"/>
          <w:sz w:val="24"/>
          <w:szCs w:val="24"/>
        </w:rPr>
        <w:t>Contextual notes specific to Townley School and Nursery</w:t>
      </w:r>
    </w:p>
    <w:p w14:paraId="2EF6D89A" w14:textId="77777777" w:rsidR="00425531" w:rsidRDefault="00C85A41">
      <w:pPr>
        <w:numPr>
          <w:ilvl w:val="0"/>
          <w:numId w:val="8"/>
        </w:numPr>
        <w:rPr>
          <w:color w:val="000000"/>
          <w:sz w:val="24"/>
          <w:szCs w:val="24"/>
        </w:rPr>
      </w:pPr>
      <w:r>
        <w:rPr>
          <w:color w:val="000000"/>
          <w:sz w:val="24"/>
          <w:szCs w:val="24"/>
        </w:rPr>
        <w:t>School structure: mixed‑age classes, ages 2–11, with a 10‑place enhanced resource base for children with SEMH needs — interventions will be adapted for mixed‑age delivery and coordinated with the resource base to ensure inclusion and consistency.</w:t>
      </w:r>
    </w:p>
    <w:p w14:paraId="4EE06B54" w14:textId="32B19F7C" w:rsidR="00425531" w:rsidRDefault="00C85A41">
      <w:pPr>
        <w:numPr>
          <w:ilvl w:val="0"/>
          <w:numId w:val="8"/>
        </w:numPr>
        <w:rPr>
          <w:color w:val="000000"/>
          <w:sz w:val="24"/>
          <w:szCs w:val="24"/>
        </w:rPr>
      </w:pPr>
      <w:r>
        <w:rPr>
          <w:color w:val="000000"/>
          <w:sz w:val="24"/>
          <w:szCs w:val="24"/>
        </w:rPr>
        <w:t>Priority school improvement items are already aligned to this PP plan: strengthen phonics across Reception–KS1; Mastering Number in KS1 and improved KS2 maths outcomes; ShREC approaches to increase oracy; OPAL implementation and improved behaviour at Friday Bridge; targeted CPD for staff new to roles/ECTs.</w:t>
      </w:r>
    </w:p>
    <w:p w14:paraId="12825820" w14:textId="77777777" w:rsidR="00425531" w:rsidRDefault="00C85A41">
      <w:pPr>
        <w:numPr>
          <w:ilvl w:val="0"/>
          <w:numId w:val="8"/>
        </w:numPr>
        <w:rPr>
          <w:color w:val="000000"/>
          <w:sz w:val="24"/>
          <w:szCs w:val="24"/>
        </w:rPr>
      </w:pPr>
      <w:r>
        <w:rPr>
          <w:color w:val="000000"/>
          <w:sz w:val="24"/>
          <w:szCs w:val="24"/>
        </w:rPr>
        <w:t>SEND &amp; SEMH: because most PP pupils also have SEND, the strategy emphasises SEND‑specific adaptation, ELSA/ELKLAN/therapy pathways, and close SENCo oversight — interventions will include clear planned exit criteria and monitoring to avoid long‑term dependency on external provision where school support can be effective.</w:t>
      </w:r>
    </w:p>
    <w:p w14:paraId="2D7B789A" w14:textId="77777777" w:rsidR="00425531" w:rsidRDefault="00C85A41">
      <w:pPr>
        <w:spacing w:before="240" w:after="240"/>
      </w:pPr>
      <w:r>
        <w:rPr>
          <w:color w:val="000000"/>
          <w:sz w:val="24"/>
          <w:szCs w:val="24"/>
        </w:rPr>
        <w:t>Budget &amp; Prioritisation (summary)</w:t>
      </w:r>
    </w:p>
    <w:p w14:paraId="74CE6F87" w14:textId="77777777" w:rsidR="00425531" w:rsidRDefault="00C85A41">
      <w:pPr>
        <w:numPr>
          <w:ilvl w:val="0"/>
          <w:numId w:val="8"/>
        </w:numPr>
        <w:rPr>
          <w:color w:val="000000"/>
          <w:sz w:val="24"/>
          <w:szCs w:val="24"/>
        </w:rPr>
      </w:pPr>
      <w:r>
        <w:rPr>
          <w:color w:val="000000"/>
          <w:sz w:val="24"/>
          <w:szCs w:val="24"/>
        </w:rPr>
        <w:t>The strategy budgets should prioritise:</w:t>
      </w:r>
      <w:r>
        <w:br/>
      </w:r>
    </w:p>
    <w:p w14:paraId="2E99881A" w14:textId="77777777" w:rsidR="00425531" w:rsidRDefault="00C85A41">
      <w:pPr>
        <w:numPr>
          <w:ilvl w:val="1"/>
          <w:numId w:val="21"/>
        </w:numPr>
        <w:rPr>
          <w:color w:val="000000"/>
          <w:sz w:val="24"/>
          <w:szCs w:val="24"/>
        </w:rPr>
      </w:pPr>
      <w:r>
        <w:rPr>
          <w:color w:val="000000"/>
          <w:sz w:val="24"/>
          <w:szCs w:val="24"/>
        </w:rPr>
        <w:t xml:space="preserve">CPD and curriculum planning time (phonics, maths mastery, </w:t>
      </w:r>
      <w:r>
        <w:rPr>
          <w:color w:val="000000"/>
          <w:sz w:val="24"/>
          <w:szCs w:val="24"/>
        </w:rPr>
        <w:t>vocabulary/oracy) — Tier 1.</w:t>
      </w:r>
    </w:p>
    <w:p w14:paraId="5307233D" w14:textId="77777777" w:rsidR="00425531" w:rsidRDefault="00C85A41">
      <w:pPr>
        <w:numPr>
          <w:ilvl w:val="1"/>
          <w:numId w:val="21"/>
        </w:numPr>
        <w:rPr>
          <w:color w:val="000000"/>
          <w:sz w:val="24"/>
          <w:szCs w:val="24"/>
        </w:rPr>
      </w:pPr>
      <w:r>
        <w:rPr>
          <w:color w:val="000000"/>
          <w:sz w:val="24"/>
          <w:szCs w:val="24"/>
        </w:rPr>
        <w:t>Targeted tuition (small groups &amp; 1:1 phonics / maths) and TA training for precise interventions — Tier 2.</w:t>
      </w:r>
    </w:p>
    <w:p w14:paraId="53DFB42D" w14:textId="3032830D" w:rsidR="00425531" w:rsidRDefault="00C85A41">
      <w:pPr>
        <w:numPr>
          <w:ilvl w:val="1"/>
          <w:numId w:val="21"/>
        </w:numPr>
        <w:rPr>
          <w:color w:val="000000"/>
          <w:sz w:val="24"/>
          <w:szCs w:val="24"/>
        </w:rPr>
      </w:pPr>
      <w:r>
        <w:rPr>
          <w:color w:val="000000"/>
          <w:sz w:val="24"/>
          <w:szCs w:val="24"/>
        </w:rPr>
        <w:t>Pastoral capacity (ELSA, counselling/play therapy), breakfast club, attendance officer Tier 3.</w:t>
      </w:r>
    </w:p>
    <w:p w14:paraId="480FF418" w14:textId="77777777" w:rsidR="00425531" w:rsidRDefault="00C85A41">
      <w:pPr>
        <w:numPr>
          <w:ilvl w:val="0"/>
          <w:numId w:val="8"/>
        </w:numPr>
        <w:rPr>
          <w:color w:val="000000"/>
          <w:sz w:val="24"/>
          <w:szCs w:val="24"/>
        </w:rPr>
      </w:pPr>
      <w:r>
        <w:rPr>
          <w:color w:val="000000"/>
          <w:sz w:val="24"/>
          <w:szCs w:val="24"/>
        </w:rPr>
        <w:t xml:space="preserve">Use a three‑year planning horizon but publish annual statements and reporting as required by DfE </w:t>
      </w:r>
      <w:hyperlink r:id="rId51" w:history="1">
        <w:r>
          <w:rPr>
            <w:rStyle w:val="DefaultParagraphFontPHPDOCX"/>
            <w:color w:val="0000CC"/>
            <w:sz w:val="24"/>
            <w:szCs w:val="24"/>
            <w:u w:val="single" w:color="000000"/>
          </w:rPr>
          <w:t>DfE Using Pupil Premium guidance</w:t>
        </w:r>
      </w:hyperlink>
      <w:r>
        <w:rPr>
          <w:color w:val="000000"/>
          <w:sz w:val="24"/>
          <w:szCs w:val="24"/>
        </w:rPr>
        <w:t>.</w:t>
      </w:r>
    </w:p>
    <w:p w14:paraId="27141D14" w14:textId="77777777" w:rsidR="00425531" w:rsidRDefault="00C85A41">
      <w:pPr>
        <w:spacing w:before="240" w:after="240"/>
      </w:pPr>
      <w:r>
        <w:rPr>
          <w:color w:val="000000"/>
          <w:sz w:val="24"/>
          <w:szCs w:val="24"/>
        </w:rPr>
        <w:t>Publication and accountability</w:t>
      </w:r>
    </w:p>
    <w:p w14:paraId="49AC525F" w14:textId="77777777" w:rsidR="00425531" w:rsidRDefault="00C85A41">
      <w:pPr>
        <w:numPr>
          <w:ilvl w:val="0"/>
          <w:numId w:val="8"/>
        </w:numPr>
        <w:rPr>
          <w:color w:val="000000"/>
          <w:sz w:val="24"/>
          <w:szCs w:val="24"/>
        </w:rPr>
      </w:pPr>
      <w:r>
        <w:rPr>
          <w:color w:val="000000"/>
          <w:sz w:val="24"/>
          <w:szCs w:val="24"/>
        </w:rPr>
        <w:lastRenderedPageBreak/>
        <w:t>This strategy will be published on the school website in the DfE template format and reviewed termly by SLT and at each full‑governor meeting. Progress against intended outcomes will be reported annually to governors and included in the public PP statement.</w:t>
      </w:r>
    </w:p>
    <w:p w14:paraId="72E0D2A3" w14:textId="634021ED" w:rsidR="00425531" w:rsidRDefault="00425531">
      <w:pPr>
        <w:spacing w:before="240" w:after="240"/>
      </w:pPr>
    </w:p>
    <w:sectPr w:rsidR="00425531" w:rsidSect="00A95018">
      <w:pgSz w:w="16840" w:h="11907" w:orient="landscape" w:code="9"/>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5AE4" w14:textId="77777777" w:rsidR="00133750" w:rsidRDefault="00133750">
      <w:r>
        <w:separator/>
      </w:r>
    </w:p>
  </w:endnote>
  <w:endnote w:type="continuationSeparator" w:id="0">
    <w:p w14:paraId="0CFE86AC" w14:textId="77777777" w:rsidR="00133750" w:rsidRDefault="00133750">
      <w:r>
        <w:continuationSeparator/>
      </w:r>
    </w:p>
  </w:endnote>
  <w:endnote w:type="continuationNotice" w:id="1">
    <w:p w14:paraId="42DBB194" w14:textId="77777777" w:rsidR="00133750" w:rsidRDefault="00133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47B40" w14:textId="77777777" w:rsidR="00133750" w:rsidRDefault="00133750">
      <w:r>
        <w:separator/>
      </w:r>
    </w:p>
  </w:footnote>
  <w:footnote w:type="continuationSeparator" w:id="0">
    <w:p w14:paraId="778119F0" w14:textId="77777777" w:rsidR="00133750" w:rsidRDefault="00133750">
      <w:r>
        <w:continuationSeparator/>
      </w:r>
    </w:p>
  </w:footnote>
  <w:footnote w:type="continuationNotice" w:id="1">
    <w:p w14:paraId="092243F2" w14:textId="77777777" w:rsidR="00133750" w:rsidRDefault="001337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B4E" w14:textId="77777777" w:rsidR="00A41D13" w:rsidRDefault="00C85A41">
    <w:r>
      <w:rPr>
        <w:noProof/>
      </w:rPr>
      <w:drawing>
        <wp:anchor distT="0" distB="0" distL="114300" distR="114300" simplePos="0" relativeHeight="251658240" behindDoc="1" locked="0" layoutInCell="1" allowOverlap="1" wp14:anchorId="368350CA" wp14:editId="56F9A756">
          <wp:simplePos x="0" y="0"/>
          <wp:positionH relativeFrom="column">
            <wp:posOffset>-609600</wp:posOffset>
          </wp:positionH>
          <wp:positionV relativeFrom="paragraph">
            <wp:posOffset>-209550</wp:posOffset>
          </wp:positionV>
          <wp:extent cx="509153"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624872064"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09153"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A7F"/>
    <w:multiLevelType w:val="hybridMultilevel"/>
    <w:tmpl w:val="465E138C"/>
    <w:lvl w:ilvl="0" w:tplc="62732274">
      <w:start w:val="1"/>
      <w:numFmt w:val="decimal"/>
      <w:lvlText w:val="%1."/>
      <w:lvlJc w:val="left"/>
      <w:pPr>
        <w:ind w:left="720" w:hanging="360"/>
      </w:pPr>
    </w:lvl>
    <w:lvl w:ilvl="1" w:tplc="62732274" w:tentative="1">
      <w:start w:val="1"/>
      <w:numFmt w:val="lowerLetter"/>
      <w:lvlText w:val="%2."/>
      <w:lvlJc w:val="left"/>
      <w:pPr>
        <w:ind w:left="1440" w:hanging="360"/>
      </w:pPr>
    </w:lvl>
    <w:lvl w:ilvl="2" w:tplc="62732274" w:tentative="1">
      <w:start w:val="1"/>
      <w:numFmt w:val="lowerRoman"/>
      <w:lvlText w:val="%3."/>
      <w:lvlJc w:val="right"/>
      <w:pPr>
        <w:ind w:left="2160" w:hanging="180"/>
      </w:pPr>
    </w:lvl>
    <w:lvl w:ilvl="3" w:tplc="62732274" w:tentative="1">
      <w:start w:val="1"/>
      <w:numFmt w:val="decimal"/>
      <w:lvlText w:val="%4."/>
      <w:lvlJc w:val="left"/>
      <w:pPr>
        <w:ind w:left="2880" w:hanging="360"/>
      </w:pPr>
    </w:lvl>
    <w:lvl w:ilvl="4" w:tplc="62732274" w:tentative="1">
      <w:start w:val="1"/>
      <w:numFmt w:val="lowerLetter"/>
      <w:lvlText w:val="%5."/>
      <w:lvlJc w:val="left"/>
      <w:pPr>
        <w:ind w:left="3600" w:hanging="360"/>
      </w:pPr>
    </w:lvl>
    <w:lvl w:ilvl="5" w:tplc="62732274" w:tentative="1">
      <w:start w:val="1"/>
      <w:numFmt w:val="lowerRoman"/>
      <w:lvlText w:val="%6."/>
      <w:lvlJc w:val="right"/>
      <w:pPr>
        <w:ind w:left="4320" w:hanging="180"/>
      </w:pPr>
    </w:lvl>
    <w:lvl w:ilvl="6" w:tplc="62732274" w:tentative="1">
      <w:start w:val="1"/>
      <w:numFmt w:val="decimal"/>
      <w:lvlText w:val="%7."/>
      <w:lvlJc w:val="left"/>
      <w:pPr>
        <w:ind w:left="5040" w:hanging="360"/>
      </w:pPr>
    </w:lvl>
    <w:lvl w:ilvl="7" w:tplc="62732274" w:tentative="1">
      <w:start w:val="1"/>
      <w:numFmt w:val="lowerLetter"/>
      <w:lvlText w:val="%8."/>
      <w:lvlJc w:val="left"/>
      <w:pPr>
        <w:ind w:left="5760" w:hanging="360"/>
      </w:pPr>
    </w:lvl>
    <w:lvl w:ilvl="8" w:tplc="62732274" w:tentative="1">
      <w:start w:val="1"/>
      <w:numFmt w:val="lowerRoman"/>
      <w:lvlText w:val="%9."/>
      <w:lvlJc w:val="right"/>
      <w:pPr>
        <w:ind w:left="6480" w:hanging="180"/>
      </w:pPr>
    </w:lvl>
  </w:abstractNum>
  <w:abstractNum w:abstractNumId="1" w15:restartNumberingAfterBreak="0">
    <w:nsid w:val="1C594AB2"/>
    <w:multiLevelType w:val="hybridMultilevel"/>
    <w:tmpl w:val="B5981CFA"/>
    <w:lvl w:ilvl="0" w:tplc="65099985">
      <w:start w:val="4"/>
      <w:numFmt w:val="decimal"/>
      <w:lvlText w:val="%1."/>
      <w:lvlJc w:val="left"/>
      <w:pPr>
        <w:ind w:left="720" w:hanging="360"/>
      </w:pPr>
    </w:lvl>
    <w:lvl w:ilvl="1" w:tplc="65099985" w:tentative="1">
      <w:start w:val="1"/>
      <w:numFmt w:val="lowerLetter"/>
      <w:lvlText w:val="%2."/>
      <w:lvlJc w:val="left"/>
      <w:pPr>
        <w:ind w:left="1440" w:hanging="360"/>
      </w:pPr>
    </w:lvl>
    <w:lvl w:ilvl="2" w:tplc="65099985" w:tentative="1">
      <w:start w:val="1"/>
      <w:numFmt w:val="lowerRoman"/>
      <w:lvlText w:val="%3."/>
      <w:lvlJc w:val="right"/>
      <w:pPr>
        <w:ind w:left="2160" w:hanging="180"/>
      </w:pPr>
    </w:lvl>
    <w:lvl w:ilvl="3" w:tplc="65099985" w:tentative="1">
      <w:start w:val="1"/>
      <w:numFmt w:val="decimal"/>
      <w:lvlText w:val="%4."/>
      <w:lvlJc w:val="left"/>
      <w:pPr>
        <w:ind w:left="2880" w:hanging="360"/>
      </w:pPr>
    </w:lvl>
    <w:lvl w:ilvl="4" w:tplc="65099985" w:tentative="1">
      <w:start w:val="1"/>
      <w:numFmt w:val="lowerLetter"/>
      <w:lvlText w:val="%5."/>
      <w:lvlJc w:val="left"/>
      <w:pPr>
        <w:ind w:left="3600" w:hanging="360"/>
      </w:pPr>
    </w:lvl>
    <w:lvl w:ilvl="5" w:tplc="65099985" w:tentative="1">
      <w:start w:val="1"/>
      <w:numFmt w:val="lowerRoman"/>
      <w:lvlText w:val="%6."/>
      <w:lvlJc w:val="right"/>
      <w:pPr>
        <w:ind w:left="4320" w:hanging="180"/>
      </w:pPr>
    </w:lvl>
    <w:lvl w:ilvl="6" w:tplc="65099985" w:tentative="1">
      <w:start w:val="1"/>
      <w:numFmt w:val="decimal"/>
      <w:lvlText w:val="%7."/>
      <w:lvlJc w:val="left"/>
      <w:pPr>
        <w:ind w:left="5040" w:hanging="360"/>
      </w:pPr>
    </w:lvl>
    <w:lvl w:ilvl="7" w:tplc="65099985" w:tentative="1">
      <w:start w:val="1"/>
      <w:numFmt w:val="lowerLetter"/>
      <w:lvlText w:val="%8."/>
      <w:lvlJc w:val="left"/>
      <w:pPr>
        <w:ind w:left="5760" w:hanging="360"/>
      </w:pPr>
    </w:lvl>
    <w:lvl w:ilvl="8" w:tplc="65099985" w:tentative="1">
      <w:start w:val="1"/>
      <w:numFmt w:val="lowerRoman"/>
      <w:lvlText w:val="%9."/>
      <w:lvlJc w:val="right"/>
      <w:pPr>
        <w:ind w:left="6480" w:hanging="180"/>
      </w:pPr>
    </w:lvl>
  </w:abstractNum>
  <w:abstractNum w:abstractNumId="2" w15:restartNumberingAfterBreak="0">
    <w:nsid w:val="1F5D5A6E"/>
    <w:multiLevelType w:val="hybridMultilevel"/>
    <w:tmpl w:val="FB1278BE"/>
    <w:lvl w:ilvl="0" w:tplc="56921253">
      <w:start w:val="1"/>
      <w:numFmt w:val="decimal"/>
      <w:lvlText w:val="%1."/>
      <w:lvlJc w:val="left"/>
      <w:pPr>
        <w:ind w:left="720" w:hanging="360"/>
      </w:pPr>
    </w:lvl>
    <w:lvl w:ilvl="1" w:tplc="56921253">
      <w:start w:val="1"/>
      <w:numFmt w:val="decimal"/>
      <w:lvlText w:val="%2."/>
      <w:lvlJc w:val="left"/>
      <w:pPr>
        <w:ind w:left="1440" w:hanging="360"/>
      </w:pPr>
    </w:lvl>
    <w:lvl w:ilvl="2" w:tplc="56921253" w:tentative="1">
      <w:start w:val="1"/>
      <w:numFmt w:val="lowerRoman"/>
      <w:lvlText w:val="%3."/>
      <w:lvlJc w:val="right"/>
      <w:pPr>
        <w:ind w:left="2160" w:hanging="180"/>
      </w:pPr>
    </w:lvl>
    <w:lvl w:ilvl="3" w:tplc="56921253" w:tentative="1">
      <w:start w:val="1"/>
      <w:numFmt w:val="decimal"/>
      <w:lvlText w:val="%4."/>
      <w:lvlJc w:val="left"/>
      <w:pPr>
        <w:ind w:left="2880" w:hanging="360"/>
      </w:pPr>
    </w:lvl>
    <w:lvl w:ilvl="4" w:tplc="56921253" w:tentative="1">
      <w:start w:val="1"/>
      <w:numFmt w:val="lowerLetter"/>
      <w:lvlText w:val="%5."/>
      <w:lvlJc w:val="left"/>
      <w:pPr>
        <w:ind w:left="3600" w:hanging="360"/>
      </w:pPr>
    </w:lvl>
    <w:lvl w:ilvl="5" w:tplc="56921253" w:tentative="1">
      <w:start w:val="1"/>
      <w:numFmt w:val="lowerRoman"/>
      <w:lvlText w:val="%6."/>
      <w:lvlJc w:val="right"/>
      <w:pPr>
        <w:ind w:left="4320" w:hanging="180"/>
      </w:pPr>
    </w:lvl>
    <w:lvl w:ilvl="6" w:tplc="56921253" w:tentative="1">
      <w:start w:val="1"/>
      <w:numFmt w:val="decimal"/>
      <w:lvlText w:val="%7."/>
      <w:lvlJc w:val="left"/>
      <w:pPr>
        <w:ind w:left="5040" w:hanging="360"/>
      </w:pPr>
    </w:lvl>
    <w:lvl w:ilvl="7" w:tplc="56921253" w:tentative="1">
      <w:start w:val="1"/>
      <w:numFmt w:val="lowerLetter"/>
      <w:lvlText w:val="%8."/>
      <w:lvlJc w:val="left"/>
      <w:pPr>
        <w:ind w:left="5760" w:hanging="360"/>
      </w:pPr>
    </w:lvl>
    <w:lvl w:ilvl="8" w:tplc="56921253" w:tentative="1">
      <w:start w:val="1"/>
      <w:numFmt w:val="lowerRoman"/>
      <w:lvlText w:val="%9."/>
      <w:lvlJc w:val="right"/>
      <w:pPr>
        <w:ind w:left="6480" w:hanging="180"/>
      </w:p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6BB019E"/>
    <w:multiLevelType w:val="hybridMultilevel"/>
    <w:tmpl w:val="9794A984"/>
    <w:lvl w:ilvl="0" w:tplc="22001384">
      <w:start w:val="1"/>
      <w:numFmt w:val="decimal"/>
      <w:lvlText w:val="%1."/>
      <w:lvlJc w:val="left"/>
      <w:pPr>
        <w:ind w:left="720" w:hanging="360"/>
      </w:pPr>
    </w:lvl>
    <w:lvl w:ilvl="1" w:tplc="22001384" w:tentative="1">
      <w:start w:val="1"/>
      <w:numFmt w:val="lowerLetter"/>
      <w:lvlText w:val="%2."/>
      <w:lvlJc w:val="left"/>
      <w:pPr>
        <w:ind w:left="1440" w:hanging="360"/>
      </w:pPr>
    </w:lvl>
    <w:lvl w:ilvl="2" w:tplc="22001384" w:tentative="1">
      <w:start w:val="1"/>
      <w:numFmt w:val="lowerRoman"/>
      <w:lvlText w:val="%3."/>
      <w:lvlJc w:val="right"/>
      <w:pPr>
        <w:ind w:left="2160" w:hanging="180"/>
      </w:pPr>
    </w:lvl>
    <w:lvl w:ilvl="3" w:tplc="22001384" w:tentative="1">
      <w:start w:val="1"/>
      <w:numFmt w:val="decimal"/>
      <w:lvlText w:val="%4."/>
      <w:lvlJc w:val="left"/>
      <w:pPr>
        <w:ind w:left="2880" w:hanging="360"/>
      </w:pPr>
    </w:lvl>
    <w:lvl w:ilvl="4" w:tplc="22001384" w:tentative="1">
      <w:start w:val="1"/>
      <w:numFmt w:val="lowerLetter"/>
      <w:lvlText w:val="%5."/>
      <w:lvlJc w:val="left"/>
      <w:pPr>
        <w:ind w:left="3600" w:hanging="360"/>
      </w:pPr>
    </w:lvl>
    <w:lvl w:ilvl="5" w:tplc="22001384" w:tentative="1">
      <w:start w:val="1"/>
      <w:numFmt w:val="lowerRoman"/>
      <w:lvlText w:val="%6."/>
      <w:lvlJc w:val="right"/>
      <w:pPr>
        <w:ind w:left="4320" w:hanging="180"/>
      </w:pPr>
    </w:lvl>
    <w:lvl w:ilvl="6" w:tplc="22001384" w:tentative="1">
      <w:start w:val="1"/>
      <w:numFmt w:val="decimal"/>
      <w:lvlText w:val="%7."/>
      <w:lvlJc w:val="left"/>
      <w:pPr>
        <w:ind w:left="5040" w:hanging="360"/>
      </w:pPr>
    </w:lvl>
    <w:lvl w:ilvl="7" w:tplc="22001384" w:tentative="1">
      <w:start w:val="1"/>
      <w:numFmt w:val="lowerLetter"/>
      <w:lvlText w:val="%8."/>
      <w:lvlJc w:val="left"/>
      <w:pPr>
        <w:ind w:left="5760" w:hanging="360"/>
      </w:pPr>
    </w:lvl>
    <w:lvl w:ilvl="8" w:tplc="22001384" w:tentative="1">
      <w:start w:val="1"/>
      <w:numFmt w:val="lowerRoman"/>
      <w:lvlText w:val="%9."/>
      <w:lvlJc w:val="right"/>
      <w:pPr>
        <w:ind w:left="6480" w:hanging="180"/>
      </w:pPr>
    </w:lvl>
  </w:abstractNum>
  <w:abstractNum w:abstractNumId="5" w15:restartNumberingAfterBreak="0">
    <w:nsid w:val="27355853"/>
    <w:multiLevelType w:val="hybridMultilevel"/>
    <w:tmpl w:val="4C9A0836"/>
    <w:lvl w:ilvl="0" w:tplc="30244633">
      <w:start w:val="1"/>
      <w:numFmt w:val="decimal"/>
      <w:lvlText w:val="%1."/>
      <w:lvlJc w:val="left"/>
      <w:pPr>
        <w:ind w:left="720" w:hanging="360"/>
      </w:pPr>
    </w:lvl>
    <w:lvl w:ilvl="1" w:tplc="30244633" w:tentative="1">
      <w:start w:val="1"/>
      <w:numFmt w:val="lowerLetter"/>
      <w:lvlText w:val="%2."/>
      <w:lvlJc w:val="left"/>
      <w:pPr>
        <w:ind w:left="1440" w:hanging="360"/>
      </w:pPr>
    </w:lvl>
    <w:lvl w:ilvl="2" w:tplc="30244633" w:tentative="1">
      <w:start w:val="1"/>
      <w:numFmt w:val="lowerRoman"/>
      <w:lvlText w:val="%3."/>
      <w:lvlJc w:val="right"/>
      <w:pPr>
        <w:ind w:left="2160" w:hanging="180"/>
      </w:pPr>
    </w:lvl>
    <w:lvl w:ilvl="3" w:tplc="30244633" w:tentative="1">
      <w:start w:val="1"/>
      <w:numFmt w:val="decimal"/>
      <w:lvlText w:val="%4."/>
      <w:lvlJc w:val="left"/>
      <w:pPr>
        <w:ind w:left="2880" w:hanging="360"/>
      </w:pPr>
    </w:lvl>
    <w:lvl w:ilvl="4" w:tplc="30244633" w:tentative="1">
      <w:start w:val="1"/>
      <w:numFmt w:val="lowerLetter"/>
      <w:lvlText w:val="%5."/>
      <w:lvlJc w:val="left"/>
      <w:pPr>
        <w:ind w:left="3600" w:hanging="360"/>
      </w:pPr>
    </w:lvl>
    <w:lvl w:ilvl="5" w:tplc="30244633" w:tentative="1">
      <w:start w:val="1"/>
      <w:numFmt w:val="lowerRoman"/>
      <w:lvlText w:val="%6."/>
      <w:lvlJc w:val="right"/>
      <w:pPr>
        <w:ind w:left="4320" w:hanging="180"/>
      </w:pPr>
    </w:lvl>
    <w:lvl w:ilvl="6" w:tplc="30244633" w:tentative="1">
      <w:start w:val="1"/>
      <w:numFmt w:val="decimal"/>
      <w:lvlText w:val="%7."/>
      <w:lvlJc w:val="left"/>
      <w:pPr>
        <w:ind w:left="5040" w:hanging="360"/>
      </w:pPr>
    </w:lvl>
    <w:lvl w:ilvl="7" w:tplc="30244633" w:tentative="1">
      <w:start w:val="1"/>
      <w:numFmt w:val="lowerLetter"/>
      <w:lvlText w:val="%8."/>
      <w:lvlJc w:val="left"/>
      <w:pPr>
        <w:ind w:left="5760" w:hanging="360"/>
      </w:pPr>
    </w:lvl>
    <w:lvl w:ilvl="8" w:tplc="30244633" w:tentative="1">
      <w:start w:val="1"/>
      <w:numFmt w:val="lowerRoman"/>
      <w:lvlText w:val="%9."/>
      <w:lvlJc w:val="right"/>
      <w:pPr>
        <w:ind w:left="6480" w:hanging="180"/>
      </w:pPr>
    </w:lvl>
  </w:abstractNum>
  <w:abstractNum w:abstractNumId="6"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93B53AD"/>
    <w:multiLevelType w:val="hybridMultilevel"/>
    <w:tmpl w:val="D84A1EEA"/>
    <w:lvl w:ilvl="0" w:tplc="99928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9982940"/>
    <w:multiLevelType w:val="hybridMultilevel"/>
    <w:tmpl w:val="5FB282B0"/>
    <w:lvl w:ilvl="0" w:tplc="91875544">
      <w:start w:val="1"/>
      <w:numFmt w:val="decimal"/>
      <w:lvlText w:val="%1."/>
      <w:lvlJc w:val="left"/>
      <w:pPr>
        <w:ind w:left="720" w:hanging="360"/>
      </w:pPr>
    </w:lvl>
    <w:lvl w:ilvl="1" w:tplc="91875544" w:tentative="1">
      <w:start w:val="1"/>
      <w:numFmt w:val="lowerLetter"/>
      <w:lvlText w:val="%2."/>
      <w:lvlJc w:val="left"/>
      <w:pPr>
        <w:ind w:left="1440" w:hanging="360"/>
      </w:pPr>
    </w:lvl>
    <w:lvl w:ilvl="2" w:tplc="91875544" w:tentative="1">
      <w:start w:val="1"/>
      <w:numFmt w:val="lowerRoman"/>
      <w:lvlText w:val="%3."/>
      <w:lvlJc w:val="right"/>
      <w:pPr>
        <w:ind w:left="2160" w:hanging="180"/>
      </w:pPr>
    </w:lvl>
    <w:lvl w:ilvl="3" w:tplc="91875544" w:tentative="1">
      <w:start w:val="1"/>
      <w:numFmt w:val="decimal"/>
      <w:lvlText w:val="%4."/>
      <w:lvlJc w:val="left"/>
      <w:pPr>
        <w:ind w:left="2880" w:hanging="360"/>
      </w:pPr>
    </w:lvl>
    <w:lvl w:ilvl="4" w:tplc="91875544" w:tentative="1">
      <w:start w:val="1"/>
      <w:numFmt w:val="lowerLetter"/>
      <w:lvlText w:val="%5."/>
      <w:lvlJc w:val="left"/>
      <w:pPr>
        <w:ind w:left="3600" w:hanging="360"/>
      </w:pPr>
    </w:lvl>
    <w:lvl w:ilvl="5" w:tplc="91875544" w:tentative="1">
      <w:start w:val="1"/>
      <w:numFmt w:val="lowerRoman"/>
      <w:lvlText w:val="%6."/>
      <w:lvlJc w:val="right"/>
      <w:pPr>
        <w:ind w:left="4320" w:hanging="180"/>
      </w:pPr>
    </w:lvl>
    <w:lvl w:ilvl="6" w:tplc="91875544" w:tentative="1">
      <w:start w:val="1"/>
      <w:numFmt w:val="decimal"/>
      <w:lvlText w:val="%7."/>
      <w:lvlJc w:val="left"/>
      <w:pPr>
        <w:ind w:left="5040" w:hanging="360"/>
      </w:pPr>
    </w:lvl>
    <w:lvl w:ilvl="7" w:tplc="91875544" w:tentative="1">
      <w:start w:val="1"/>
      <w:numFmt w:val="lowerLetter"/>
      <w:lvlText w:val="%8."/>
      <w:lvlJc w:val="left"/>
      <w:pPr>
        <w:ind w:left="5760" w:hanging="360"/>
      </w:pPr>
    </w:lvl>
    <w:lvl w:ilvl="8" w:tplc="91875544" w:tentative="1">
      <w:start w:val="1"/>
      <w:numFmt w:val="lowerRoman"/>
      <w:lvlText w:val="%9."/>
      <w:lvlJc w:val="right"/>
      <w:pPr>
        <w:ind w:left="6480" w:hanging="180"/>
      </w:pPr>
    </w:lvl>
  </w:abstractNum>
  <w:abstractNum w:abstractNumId="9" w15:restartNumberingAfterBreak="0">
    <w:nsid w:val="45AD528F"/>
    <w:multiLevelType w:val="hybridMultilevel"/>
    <w:tmpl w:val="0FD0F676"/>
    <w:lvl w:ilvl="0" w:tplc="76060195">
      <w:start w:val="1"/>
      <w:numFmt w:val="decimal"/>
      <w:lvlText w:val="%1."/>
      <w:lvlJc w:val="left"/>
      <w:pPr>
        <w:ind w:left="720" w:hanging="360"/>
      </w:pPr>
    </w:lvl>
    <w:lvl w:ilvl="1" w:tplc="76060195" w:tentative="1">
      <w:start w:val="1"/>
      <w:numFmt w:val="lowerLetter"/>
      <w:lvlText w:val="%2."/>
      <w:lvlJc w:val="left"/>
      <w:pPr>
        <w:ind w:left="1440" w:hanging="360"/>
      </w:pPr>
    </w:lvl>
    <w:lvl w:ilvl="2" w:tplc="76060195" w:tentative="1">
      <w:start w:val="1"/>
      <w:numFmt w:val="lowerRoman"/>
      <w:lvlText w:val="%3."/>
      <w:lvlJc w:val="right"/>
      <w:pPr>
        <w:ind w:left="2160" w:hanging="180"/>
      </w:pPr>
    </w:lvl>
    <w:lvl w:ilvl="3" w:tplc="76060195" w:tentative="1">
      <w:start w:val="1"/>
      <w:numFmt w:val="decimal"/>
      <w:lvlText w:val="%4."/>
      <w:lvlJc w:val="left"/>
      <w:pPr>
        <w:ind w:left="2880" w:hanging="360"/>
      </w:pPr>
    </w:lvl>
    <w:lvl w:ilvl="4" w:tplc="76060195" w:tentative="1">
      <w:start w:val="1"/>
      <w:numFmt w:val="lowerLetter"/>
      <w:lvlText w:val="%5."/>
      <w:lvlJc w:val="left"/>
      <w:pPr>
        <w:ind w:left="3600" w:hanging="360"/>
      </w:pPr>
    </w:lvl>
    <w:lvl w:ilvl="5" w:tplc="76060195" w:tentative="1">
      <w:start w:val="1"/>
      <w:numFmt w:val="lowerRoman"/>
      <w:lvlText w:val="%6."/>
      <w:lvlJc w:val="right"/>
      <w:pPr>
        <w:ind w:left="4320" w:hanging="180"/>
      </w:pPr>
    </w:lvl>
    <w:lvl w:ilvl="6" w:tplc="76060195" w:tentative="1">
      <w:start w:val="1"/>
      <w:numFmt w:val="decimal"/>
      <w:lvlText w:val="%7."/>
      <w:lvlJc w:val="left"/>
      <w:pPr>
        <w:ind w:left="5040" w:hanging="360"/>
      </w:pPr>
    </w:lvl>
    <w:lvl w:ilvl="7" w:tplc="76060195" w:tentative="1">
      <w:start w:val="1"/>
      <w:numFmt w:val="lowerLetter"/>
      <w:lvlText w:val="%8."/>
      <w:lvlJc w:val="left"/>
      <w:pPr>
        <w:ind w:left="5760" w:hanging="360"/>
      </w:pPr>
    </w:lvl>
    <w:lvl w:ilvl="8" w:tplc="76060195" w:tentative="1">
      <w:start w:val="1"/>
      <w:numFmt w:val="lowerRoman"/>
      <w:lvlText w:val="%9."/>
      <w:lvlJc w:val="right"/>
      <w:pPr>
        <w:ind w:left="6480" w:hanging="180"/>
      </w:pPr>
    </w:lvl>
  </w:abstractNum>
  <w:abstractNum w:abstractNumId="10" w15:restartNumberingAfterBreak="0">
    <w:nsid w:val="491E4BAD"/>
    <w:multiLevelType w:val="hybridMultilevel"/>
    <w:tmpl w:val="EF543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91CDF"/>
    <w:multiLevelType w:val="hybridMultilevel"/>
    <w:tmpl w:val="9C84F650"/>
    <w:lvl w:ilvl="0" w:tplc="47769763">
      <w:start w:val="2"/>
      <w:numFmt w:val="decimal"/>
      <w:lvlText w:val="%1."/>
      <w:lvlJc w:val="left"/>
      <w:pPr>
        <w:ind w:left="720" w:hanging="360"/>
      </w:pPr>
    </w:lvl>
    <w:lvl w:ilvl="1" w:tplc="47769763" w:tentative="1">
      <w:start w:val="1"/>
      <w:numFmt w:val="lowerLetter"/>
      <w:lvlText w:val="%2."/>
      <w:lvlJc w:val="left"/>
      <w:pPr>
        <w:ind w:left="1440" w:hanging="360"/>
      </w:pPr>
    </w:lvl>
    <w:lvl w:ilvl="2" w:tplc="47769763" w:tentative="1">
      <w:start w:val="1"/>
      <w:numFmt w:val="lowerRoman"/>
      <w:lvlText w:val="%3."/>
      <w:lvlJc w:val="right"/>
      <w:pPr>
        <w:ind w:left="2160" w:hanging="180"/>
      </w:pPr>
    </w:lvl>
    <w:lvl w:ilvl="3" w:tplc="47769763" w:tentative="1">
      <w:start w:val="1"/>
      <w:numFmt w:val="decimal"/>
      <w:lvlText w:val="%4."/>
      <w:lvlJc w:val="left"/>
      <w:pPr>
        <w:ind w:left="2880" w:hanging="360"/>
      </w:pPr>
    </w:lvl>
    <w:lvl w:ilvl="4" w:tplc="47769763" w:tentative="1">
      <w:start w:val="1"/>
      <w:numFmt w:val="lowerLetter"/>
      <w:lvlText w:val="%5."/>
      <w:lvlJc w:val="left"/>
      <w:pPr>
        <w:ind w:left="3600" w:hanging="360"/>
      </w:pPr>
    </w:lvl>
    <w:lvl w:ilvl="5" w:tplc="47769763" w:tentative="1">
      <w:start w:val="1"/>
      <w:numFmt w:val="lowerRoman"/>
      <w:lvlText w:val="%6."/>
      <w:lvlJc w:val="right"/>
      <w:pPr>
        <w:ind w:left="4320" w:hanging="180"/>
      </w:pPr>
    </w:lvl>
    <w:lvl w:ilvl="6" w:tplc="47769763" w:tentative="1">
      <w:start w:val="1"/>
      <w:numFmt w:val="decimal"/>
      <w:lvlText w:val="%7."/>
      <w:lvlJc w:val="left"/>
      <w:pPr>
        <w:ind w:left="5040" w:hanging="360"/>
      </w:pPr>
    </w:lvl>
    <w:lvl w:ilvl="7" w:tplc="47769763" w:tentative="1">
      <w:start w:val="1"/>
      <w:numFmt w:val="lowerLetter"/>
      <w:lvlText w:val="%8."/>
      <w:lvlJc w:val="left"/>
      <w:pPr>
        <w:ind w:left="5760" w:hanging="360"/>
      </w:pPr>
    </w:lvl>
    <w:lvl w:ilvl="8" w:tplc="47769763" w:tentative="1">
      <w:start w:val="1"/>
      <w:numFmt w:val="lowerRoman"/>
      <w:lvlText w:val="%9."/>
      <w:lvlJc w:val="right"/>
      <w:pPr>
        <w:ind w:left="6480" w:hanging="180"/>
      </w:pPr>
    </w:lvl>
  </w:abstractNum>
  <w:abstractNum w:abstractNumId="1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25A0232"/>
    <w:multiLevelType w:val="hybridMultilevel"/>
    <w:tmpl w:val="D6040FEA"/>
    <w:lvl w:ilvl="0" w:tplc="92588060">
      <w:start w:val="1"/>
      <w:numFmt w:val="decimal"/>
      <w:lvlText w:val="%1."/>
      <w:lvlJc w:val="left"/>
      <w:pPr>
        <w:ind w:left="720" w:hanging="360"/>
      </w:pPr>
    </w:lvl>
    <w:lvl w:ilvl="1" w:tplc="92588060" w:tentative="1">
      <w:start w:val="1"/>
      <w:numFmt w:val="lowerLetter"/>
      <w:lvlText w:val="%2."/>
      <w:lvlJc w:val="left"/>
      <w:pPr>
        <w:ind w:left="1440" w:hanging="360"/>
      </w:pPr>
    </w:lvl>
    <w:lvl w:ilvl="2" w:tplc="92588060" w:tentative="1">
      <w:start w:val="1"/>
      <w:numFmt w:val="lowerRoman"/>
      <w:lvlText w:val="%3."/>
      <w:lvlJc w:val="right"/>
      <w:pPr>
        <w:ind w:left="2160" w:hanging="180"/>
      </w:pPr>
    </w:lvl>
    <w:lvl w:ilvl="3" w:tplc="92588060" w:tentative="1">
      <w:start w:val="1"/>
      <w:numFmt w:val="decimal"/>
      <w:lvlText w:val="%4."/>
      <w:lvlJc w:val="left"/>
      <w:pPr>
        <w:ind w:left="2880" w:hanging="360"/>
      </w:pPr>
    </w:lvl>
    <w:lvl w:ilvl="4" w:tplc="92588060" w:tentative="1">
      <w:start w:val="1"/>
      <w:numFmt w:val="lowerLetter"/>
      <w:lvlText w:val="%5."/>
      <w:lvlJc w:val="left"/>
      <w:pPr>
        <w:ind w:left="3600" w:hanging="360"/>
      </w:pPr>
    </w:lvl>
    <w:lvl w:ilvl="5" w:tplc="92588060" w:tentative="1">
      <w:start w:val="1"/>
      <w:numFmt w:val="lowerRoman"/>
      <w:lvlText w:val="%6."/>
      <w:lvlJc w:val="right"/>
      <w:pPr>
        <w:ind w:left="4320" w:hanging="180"/>
      </w:pPr>
    </w:lvl>
    <w:lvl w:ilvl="6" w:tplc="92588060" w:tentative="1">
      <w:start w:val="1"/>
      <w:numFmt w:val="decimal"/>
      <w:lvlText w:val="%7."/>
      <w:lvlJc w:val="left"/>
      <w:pPr>
        <w:ind w:left="5040" w:hanging="360"/>
      </w:pPr>
    </w:lvl>
    <w:lvl w:ilvl="7" w:tplc="92588060" w:tentative="1">
      <w:start w:val="1"/>
      <w:numFmt w:val="lowerLetter"/>
      <w:lvlText w:val="%8."/>
      <w:lvlJc w:val="left"/>
      <w:pPr>
        <w:ind w:left="5760" w:hanging="360"/>
      </w:pPr>
    </w:lvl>
    <w:lvl w:ilvl="8" w:tplc="92588060" w:tentative="1">
      <w:start w:val="1"/>
      <w:numFmt w:val="lowerRoman"/>
      <w:lvlText w:val="%9."/>
      <w:lvlJc w:val="right"/>
      <w:pPr>
        <w:ind w:left="6480" w:hanging="180"/>
      </w:pPr>
    </w:lvl>
  </w:abstractNum>
  <w:abstractNum w:abstractNumId="15" w15:restartNumberingAfterBreak="0">
    <w:nsid w:val="52961339"/>
    <w:multiLevelType w:val="hybridMultilevel"/>
    <w:tmpl w:val="6166D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010B2A"/>
    <w:multiLevelType w:val="hybridMultilevel"/>
    <w:tmpl w:val="E2B8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22414B"/>
    <w:multiLevelType w:val="hybridMultilevel"/>
    <w:tmpl w:val="2CEEFA1C"/>
    <w:lvl w:ilvl="0" w:tplc="55574455">
      <w:start w:val="1"/>
      <w:numFmt w:val="decimal"/>
      <w:lvlText w:val="%1."/>
      <w:lvlJc w:val="left"/>
      <w:pPr>
        <w:ind w:left="720" w:hanging="360"/>
      </w:pPr>
    </w:lvl>
    <w:lvl w:ilvl="1" w:tplc="55574455" w:tentative="1">
      <w:start w:val="1"/>
      <w:numFmt w:val="lowerLetter"/>
      <w:lvlText w:val="%2."/>
      <w:lvlJc w:val="left"/>
      <w:pPr>
        <w:ind w:left="1440" w:hanging="360"/>
      </w:pPr>
    </w:lvl>
    <w:lvl w:ilvl="2" w:tplc="55574455" w:tentative="1">
      <w:start w:val="1"/>
      <w:numFmt w:val="lowerRoman"/>
      <w:lvlText w:val="%3."/>
      <w:lvlJc w:val="right"/>
      <w:pPr>
        <w:ind w:left="2160" w:hanging="180"/>
      </w:pPr>
    </w:lvl>
    <w:lvl w:ilvl="3" w:tplc="55574455" w:tentative="1">
      <w:start w:val="1"/>
      <w:numFmt w:val="decimal"/>
      <w:lvlText w:val="%4."/>
      <w:lvlJc w:val="left"/>
      <w:pPr>
        <w:ind w:left="2880" w:hanging="360"/>
      </w:pPr>
    </w:lvl>
    <w:lvl w:ilvl="4" w:tplc="55574455" w:tentative="1">
      <w:start w:val="1"/>
      <w:numFmt w:val="lowerLetter"/>
      <w:lvlText w:val="%5."/>
      <w:lvlJc w:val="left"/>
      <w:pPr>
        <w:ind w:left="3600" w:hanging="360"/>
      </w:pPr>
    </w:lvl>
    <w:lvl w:ilvl="5" w:tplc="55574455" w:tentative="1">
      <w:start w:val="1"/>
      <w:numFmt w:val="lowerRoman"/>
      <w:lvlText w:val="%6."/>
      <w:lvlJc w:val="right"/>
      <w:pPr>
        <w:ind w:left="4320" w:hanging="180"/>
      </w:pPr>
    </w:lvl>
    <w:lvl w:ilvl="6" w:tplc="55574455" w:tentative="1">
      <w:start w:val="1"/>
      <w:numFmt w:val="decimal"/>
      <w:lvlText w:val="%7."/>
      <w:lvlJc w:val="left"/>
      <w:pPr>
        <w:ind w:left="5040" w:hanging="360"/>
      </w:pPr>
    </w:lvl>
    <w:lvl w:ilvl="7" w:tplc="55574455" w:tentative="1">
      <w:start w:val="1"/>
      <w:numFmt w:val="lowerLetter"/>
      <w:lvlText w:val="%8."/>
      <w:lvlJc w:val="left"/>
      <w:pPr>
        <w:ind w:left="5760" w:hanging="360"/>
      </w:pPr>
    </w:lvl>
    <w:lvl w:ilvl="8" w:tplc="55574455" w:tentative="1">
      <w:start w:val="1"/>
      <w:numFmt w:val="lowerRoman"/>
      <w:lvlText w:val="%9."/>
      <w:lvlJc w:val="right"/>
      <w:pPr>
        <w:ind w:left="6480" w:hanging="180"/>
      </w:pPr>
    </w:lvl>
  </w:abstractNum>
  <w:abstractNum w:abstractNumId="20" w15:restartNumberingAfterBreak="0">
    <w:nsid w:val="5F922557"/>
    <w:multiLevelType w:val="hybridMultilevel"/>
    <w:tmpl w:val="746EFE18"/>
    <w:lvl w:ilvl="0" w:tplc="47661465">
      <w:start w:val="1"/>
      <w:numFmt w:val="decimal"/>
      <w:lvlText w:val="%1."/>
      <w:lvlJc w:val="left"/>
      <w:pPr>
        <w:ind w:left="720" w:hanging="360"/>
      </w:pPr>
    </w:lvl>
    <w:lvl w:ilvl="1" w:tplc="47661465" w:tentative="1">
      <w:start w:val="1"/>
      <w:numFmt w:val="lowerLetter"/>
      <w:lvlText w:val="%2."/>
      <w:lvlJc w:val="left"/>
      <w:pPr>
        <w:ind w:left="1440" w:hanging="360"/>
      </w:pPr>
    </w:lvl>
    <w:lvl w:ilvl="2" w:tplc="47661465" w:tentative="1">
      <w:start w:val="1"/>
      <w:numFmt w:val="lowerRoman"/>
      <w:lvlText w:val="%3."/>
      <w:lvlJc w:val="right"/>
      <w:pPr>
        <w:ind w:left="2160" w:hanging="180"/>
      </w:pPr>
    </w:lvl>
    <w:lvl w:ilvl="3" w:tplc="47661465" w:tentative="1">
      <w:start w:val="1"/>
      <w:numFmt w:val="decimal"/>
      <w:lvlText w:val="%4."/>
      <w:lvlJc w:val="left"/>
      <w:pPr>
        <w:ind w:left="2880" w:hanging="360"/>
      </w:pPr>
    </w:lvl>
    <w:lvl w:ilvl="4" w:tplc="47661465" w:tentative="1">
      <w:start w:val="1"/>
      <w:numFmt w:val="lowerLetter"/>
      <w:lvlText w:val="%5."/>
      <w:lvlJc w:val="left"/>
      <w:pPr>
        <w:ind w:left="3600" w:hanging="360"/>
      </w:pPr>
    </w:lvl>
    <w:lvl w:ilvl="5" w:tplc="47661465" w:tentative="1">
      <w:start w:val="1"/>
      <w:numFmt w:val="lowerRoman"/>
      <w:lvlText w:val="%6."/>
      <w:lvlJc w:val="right"/>
      <w:pPr>
        <w:ind w:left="4320" w:hanging="180"/>
      </w:pPr>
    </w:lvl>
    <w:lvl w:ilvl="6" w:tplc="47661465" w:tentative="1">
      <w:start w:val="1"/>
      <w:numFmt w:val="decimal"/>
      <w:lvlText w:val="%7."/>
      <w:lvlJc w:val="left"/>
      <w:pPr>
        <w:ind w:left="5040" w:hanging="360"/>
      </w:pPr>
    </w:lvl>
    <w:lvl w:ilvl="7" w:tplc="47661465" w:tentative="1">
      <w:start w:val="1"/>
      <w:numFmt w:val="lowerLetter"/>
      <w:lvlText w:val="%8."/>
      <w:lvlJc w:val="left"/>
      <w:pPr>
        <w:ind w:left="5760" w:hanging="360"/>
      </w:pPr>
    </w:lvl>
    <w:lvl w:ilvl="8" w:tplc="47661465" w:tentative="1">
      <w:start w:val="1"/>
      <w:numFmt w:val="lowerRoman"/>
      <w:lvlText w:val="%9."/>
      <w:lvlJc w:val="right"/>
      <w:pPr>
        <w:ind w:left="6480" w:hanging="180"/>
      </w:pPr>
    </w:lvl>
  </w:abstractNum>
  <w:abstractNum w:abstractNumId="2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79D08B2"/>
    <w:multiLevelType w:val="hybridMultilevel"/>
    <w:tmpl w:val="8DE407B4"/>
    <w:lvl w:ilvl="0" w:tplc="57906097">
      <w:start w:val="1"/>
      <w:numFmt w:val="decimal"/>
      <w:lvlText w:val="%1."/>
      <w:lvlJc w:val="left"/>
      <w:pPr>
        <w:ind w:left="720" w:hanging="360"/>
      </w:pPr>
    </w:lvl>
    <w:lvl w:ilvl="1" w:tplc="57906097" w:tentative="1">
      <w:start w:val="1"/>
      <w:numFmt w:val="lowerLetter"/>
      <w:lvlText w:val="%2."/>
      <w:lvlJc w:val="left"/>
      <w:pPr>
        <w:ind w:left="1440" w:hanging="360"/>
      </w:pPr>
    </w:lvl>
    <w:lvl w:ilvl="2" w:tplc="57906097" w:tentative="1">
      <w:start w:val="1"/>
      <w:numFmt w:val="lowerRoman"/>
      <w:lvlText w:val="%3."/>
      <w:lvlJc w:val="right"/>
      <w:pPr>
        <w:ind w:left="2160" w:hanging="180"/>
      </w:pPr>
    </w:lvl>
    <w:lvl w:ilvl="3" w:tplc="57906097" w:tentative="1">
      <w:start w:val="1"/>
      <w:numFmt w:val="decimal"/>
      <w:lvlText w:val="%4."/>
      <w:lvlJc w:val="left"/>
      <w:pPr>
        <w:ind w:left="2880" w:hanging="360"/>
      </w:pPr>
    </w:lvl>
    <w:lvl w:ilvl="4" w:tplc="57906097" w:tentative="1">
      <w:start w:val="1"/>
      <w:numFmt w:val="lowerLetter"/>
      <w:lvlText w:val="%5."/>
      <w:lvlJc w:val="left"/>
      <w:pPr>
        <w:ind w:left="3600" w:hanging="360"/>
      </w:pPr>
    </w:lvl>
    <w:lvl w:ilvl="5" w:tplc="57906097" w:tentative="1">
      <w:start w:val="1"/>
      <w:numFmt w:val="lowerRoman"/>
      <w:lvlText w:val="%6."/>
      <w:lvlJc w:val="right"/>
      <w:pPr>
        <w:ind w:left="4320" w:hanging="180"/>
      </w:pPr>
    </w:lvl>
    <w:lvl w:ilvl="6" w:tplc="57906097" w:tentative="1">
      <w:start w:val="1"/>
      <w:numFmt w:val="decimal"/>
      <w:lvlText w:val="%7."/>
      <w:lvlJc w:val="left"/>
      <w:pPr>
        <w:ind w:left="5040" w:hanging="360"/>
      </w:pPr>
    </w:lvl>
    <w:lvl w:ilvl="7" w:tplc="57906097" w:tentative="1">
      <w:start w:val="1"/>
      <w:numFmt w:val="lowerLetter"/>
      <w:lvlText w:val="%8."/>
      <w:lvlJc w:val="left"/>
      <w:pPr>
        <w:ind w:left="5760" w:hanging="360"/>
      </w:pPr>
    </w:lvl>
    <w:lvl w:ilvl="8" w:tplc="57906097" w:tentative="1">
      <w:start w:val="1"/>
      <w:numFmt w:val="lowerRoman"/>
      <w:lvlText w:val="%9."/>
      <w:lvlJc w:val="right"/>
      <w:pPr>
        <w:ind w:left="6480" w:hanging="180"/>
      </w:pPr>
    </w:lvl>
  </w:abstractNum>
  <w:abstractNum w:abstractNumId="23" w15:restartNumberingAfterBreak="0">
    <w:nsid w:val="78EF35DC"/>
    <w:multiLevelType w:val="hybridMultilevel"/>
    <w:tmpl w:val="CC8EF602"/>
    <w:lvl w:ilvl="0" w:tplc="98592274">
      <w:start w:val="3"/>
      <w:numFmt w:val="decimal"/>
      <w:lvlText w:val="%1."/>
      <w:lvlJc w:val="left"/>
      <w:pPr>
        <w:ind w:left="720" w:hanging="360"/>
      </w:pPr>
    </w:lvl>
    <w:lvl w:ilvl="1" w:tplc="98592274" w:tentative="1">
      <w:start w:val="1"/>
      <w:numFmt w:val="lowerLetter"/>
      <w:lvlText w:val="%2."/>
      <w:lvlJc w:val="left"/>
      <w:pPr>
        <w:ind w:left="1440" w:hanging="360"/>
      </w:pPr>
    </w:lvl>
    <w:lvl w:ilvl="2" w:tplc="98592274" w:tentative="1">
      <w:start w:val="1"/>
      <w:numFmt w:val="lowerRoman"/>
      <w:lvlText w:val="%3."/>
      <w:lvlJc w:val="right"/>
      <w:pPr>
        <w:ind w:left="2160" w:hanging="180"/>
      </w:pPr>
    </w:lvl>
    <w:lvl w:ilvl="3" w:tplc="98592274" w:tentative="1">
      <w:start w:val="1"/>
      <w:numFmt w:val="decimal"/>
      <w:lvlText w:val="%4."/>
      <w:lvlJc w:val="left"/>
      <w:pPr>
        <w:ind w:left="2880" w:hanging="360"/>
      </w:pPr>
    </w:lvl>
    <w:lvl w:ilvl="4" w:tplc="98592274" w:tentative="1">
      <w:start w:val="1"/>
      <w:numFmt w:val="lowerLetter"/>
      <w:lvlText w:val="%5."/>
      <w:lvlJc w:val="left"/>
      <w:pPr>
        <w:ind w:left="3600" w:hanging="360"/>
      </w:pPr>
    </w:lvl>
    <w:lvl w:ilvl="5" w:tplc="98592274" w:tentative="1">
      <w:start w:val="1"/>
      <w:numFmt w:val="lowerRoman"/>
      <w:lvlText w:val="%6."/>
      <w:lvlJc w:val="right"/>
      <w:pPr>
        <w:ind w:left="4320" w:hanging="180"/>
      </w:pPr>
    </w:lvl>
    <w:lvl w:ilvl="6" w:tplc="98592274" w:tentative="1">
      <w:start w:val="1"/>
      <w:numFmt w:val="decimal"/>
      <w:lvlText w:val="%7."/>
      <w:lvlJc w:val="left"/>
      <w:pPr>
        <w:ind w:left="5040" w:hanging="360"/>
      </w:pPr>
    </w:lvl>
    <w:lvl w:ilvl="7" w:tplc="98592274" w:tentative="1">
      <w:start w:val="1"/>
      <w:numFmt w:val="lowerLetter"/>
      <w:lvlText w:val="%8."/>
      <w:lvlJc w:val="left"/>
      <w:pPr>
        <w:ind w:left="5760" w:hanging="360"/>
      </w:pPr>
    </w:lvl>
    <w:lvl w:ilvl="8" w:tplc="98592274" w:tentative="1">
      <w:start w:val="1"/>
      <w:numFmt w:val="lowerRoman"/>
      <w:lvlText w:val="%9."/>
      <w:lvlJc w:val="right"/>
      <w:pPr>
        <w:ind w:left="6480" w:hanging="180"/>
      </w:pPr>
    </w:lvl>
  </w:abstractNum>
  <w:abstractNum w:abstractNumId="24" w15:restartNumberingAfterBreak="0">
    <w:nsid w:val="7A1306C6"/>
    <w:multiLevelType w:val="hybridMultilevel"/>
    <w:tmpl w:val="1966B148"/>
    <w:lvl w:ilvl="0" w:tplc="98028985">
      <w:start w:val="1"/>
      <w:numFmt w:val="decimal"/>
      <w:lvlText w:val="%1."/>
      <w:lvlJc w:val="left"/>
      <w:pPr>
        <w:ind w:left="720" w:hanging="360"/>
      </w:pPr>
    </w:lvl>
    <w:lvl w:ilvl="1" w:tplc="98028985" w:tentative="1">
      <w:start w:val="1"/>
      <w:numFmt w:val="lowerLetter"/>
      <w:lvlText w:val="%2."/>
      <w:lvlJc w:val="left"/>
      <w:pPr>
        <w:ind w:left="1440" w:hanging="360"/>
      </w:pPr>
    </w:lvl>
    <w:lvl w:ilvl="2" w:tplc="98028985" w:tentative="1">
      <w:start w:val="1"/>
      <w:numFmt w:val="lowerRoman"/>
      <w:lvlText w:val="%3."/>
      <w:lvlJc w:val="right"/>
      <w:pPr>
        <w:ind w:left="2160" w:hanging="180"/>
      </w:pPr>
    </w:lvl>
    <w:lvl w:ilvl="3" w:tplc="98028985" w:tentative="1">
      <w:start w:val="1"/>
      <w:numFmt w:val="decimal"/>
      <w:lvlText w:val="%4."/>
      <w:lvlJc w:val="left"/>
      <w:pPr>
        <w:ind w:left="2880" w:hanging="360"/>
      </w:pPr>
    </w:lvl>
    <w:lvl w:ilvl="4" w:tplc="98028985" w:tentative="1">
      <w:start w:val="1"/>
      <w:numFmt w:val="lowerLetter"/>
      <w:lvlText w:val="%5."/>
      <w:lvlJc w:val="left"/>
      <w:pPr>
        <w:ind w:left="3600" w:hanging="360"/>
      </w:pPr>
    </w:lvl>
    <w:lvl w:ilvl="5" w:tplc="98028985" w:tentative="1">
      <w:start w:val="1"/>
      <w:numFmt w:val="lowerRoman"/>
      <w:lvlText w:val="%6."/>
      <w:lvlJc w:val="right"/>
      <w:pPr>
        <w:ind w:left="4320" w:hanging="180"/>
      </w:pPr>
    </w:lvl>
    <w:lvl w:ilvl="6" w:tplc="98028985" w:tentative="1">
      <w:start w:val="1"/>
      <w:numFmt w:val="decimal"/>
      <w:lvlText w:val="%7."/>
      <w:lvlJc w:val="left"/>
      <w:pPr>
        <w:ind w:left="5040" w:hanging="360"/>
      </w:pPr>
    </w:lvl>
    <w:lvl w:ilvl="7" w:tplc="98028985" w:tentative="1">
      <w:start w:val="1"/>
      <w:numFmt w:val="lowerLetter"/>
      <w:lvlText w:val="%8."/>
      <w:lvlJc w:val="left"/>
      <w:pPr>
        <w:ind w:left="5760" w:hanging="360"/>
      </w:pPr>
    </w:lvl>
    <w:lvl w:ilvl="8" w:tplc="98028985" w:tentative="1">
      <w:start w:val="1"/>
      <w:numFmt w:val="lowerRoman"/>
      <w:lvlText w:val="%9."/>
      <w:lvlJc w:val="right"/>
      <w:pPr>
        <w:ind w:left="6480" w:hanging="180"/>
      </w:pPr>
    </w:lvl>
  </w:abstractNum>
  <w:num w:numId="1" w16cid:durableId="353657957">
    <w:abstractNumId w:val="13"/>
  </w:num>
  <w:num w:numId="2" w16cid:durableId="592595503">
    <w:abstractNumId w:val="17"/>
  </w:num>
  <w:num w:numId="3" w16cid:durableId="410279418">
    <w:abstractNumId w:val="21"/>
  </w:num>
  <w:num w:numId="4" w16cid:durableId="24521273">
    <w:abstractNumId w:val="16"/>
  </w:num>
  <w:num w:numId="5" w16cid:durableId="1408334211">
    <w:abstractNumId w:val="6"/>
  </w:num>
  <w:num w:numId="6" w16cid:durableId="418215717">
    <w:abstractNumId w:val="3"/>
  </w:num>
  <w:num w:numId="7" w16cid:durableId="793863714">
    <w:abstractNumId w:val="12"/>
  </w:num>
  <w:num w:numId="8" w16cid:durableId="1477264211">
    <w:abstractNumId w:val="7"/>
  </w:num>
  <w:num w:numId="9" w16cid:durableId="1273169633">
    <w:abstractNumId w:val="0"/>
  </w:num>
  <w:num w:numId="10" w16cid:durableId="397481636">
    <w:abstractNumId w:val="5"/>
  </w:num>
  <w:num w:numId="11" w16cid:durableId="1900700680">
    <w:abstractNumId w:val="22"/>
  </w:num>
  <w:num w:numId="12" w16cid:durableId="293297538">
    <w:abstractNumId w:val="4"/>
  </w:num>
  <w:num w:numId="13" w16cid:durableId="1809975593">
    <w:abstractNumId w:val="8"/>
  </w:num>
  <w:num w:numId="14" w16cid:durableId="640959103">
    <w:abstractNumId w:val="14"/>
  </w:num>
  <w:num w:numId="15" w16cid:durableId="513152171">
    <w:abstractNumId w:val="11"/>
  </w:num>
  <w:num w:numId="16" w16cid:durableId="1067531341">
    <w:abstractNumId w:val="23"/>
  </w:num>
  <w:num w:numId="17" w16cid:durableId="1314724528">
    <w:abstractNumId w:val="1"/>
  </w:num>
  <w:num w:numId="18" w16cid:durableId="1763139370">
    <w:abstractNumId w:val="24"/>
  </w:num>
  <w:num w:numId="19" w16cid:durableId="939683766">
    <w:abstractNumId w:val="20"/>
  </w:num>
  <w:num w:numId="20" w16cid:durableId="1887062708">
    <w:abstractNumId w:val="19"/>
  </w:num>
  <w:num w:numId="21" w16cid:durableId="1467308342">
    <w:abstractNumId w:val="2"/>
  </w:num>
  <w:num w:numId="22" w16cid:durableId="2033653323">
    <w:abstractNumId w:val="9"/>
  </w:num>
  <w:num w:numId="23" w16cid:durableId="471797042">
    <w:abstractNumId w:val="18"/>
  </w:num>
  <w:num w:numId="24" w16cid:durableId="1515459710">
    <w:abstractNumId w:val="15"/>
  </w:num>
  <w:num w:numId="25" w16cid:durableId="1987977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32213"/>
    <w:rsid w:val="000B1FBF"/>
    <w:rsid w:val="000B4EB0"/>
    <w:rsid w:val="00133750"/>
    <w:rsid w:val="001E4D48"/>
    <w:rsid w:val="00217DE5"/>
    <w:rsid w:val="002348B3"/>
    <w:rsid w:val="002450C4"/>
    <w:rsid w:val="002A1428"/>
    <w:rsid w:val="002C63D7"/>
    <w:rsid w:val="0033736F"/>
    <w:rsid w:val="00364E24"/>
    <w:rsid w:val="003E3742"/>
    <w:rsid w:val="003F5D86"/>
    <w:rsid w:val="0040244C"/>
    <w:rsid w:val="0040271D"/>
    <w:rsid w:val="00425531"/>
    <w:rsid w:val="00453F2E"/>
    <w:rsid w:val="004705E1"/>
    <w:rsid w:val="004A1773"/>
    <w:rsid w:val="0052769C"/>
    <w:rsid w:val="00535912"/>
    <w:rsid w:val="005805C2"/>
    <w:rsid w:val="00580FD4"/>
    <w:rsid w:val="005932B0"/>
    <w:rsid w:val="005A37E5"/>
    <w:rsid w:val="005A715D"/>
    <w:rsid w:val="005F2845"/>
    <w:rsid w:val="0060046D"/>
    <w:rsid w:val="006626D4"/>
    <w:rsid w:val="006E205E"/>
    <w:rsid w:val="006E6ECC"/>
    <w:rsid w:val="006F484E"/>
    <w:rsid w:val="00712BE7"/>
    <w:rsid w:val="00716FFE"/>
    <w:rsid w:val="007E5EF0"/>
    <w:rsid w:val="008A29B8"/>
    <w:rsid w:val="008D2786"/>
    <w:rsid w:val="008E25A0"/>
    <w:rsid w:val="00907B9D"/>
    <w:rsid w:val="009438F9"/>
    <w:rsid w:val="009D71A0"/>
    <w:rsid w:val="00A134C6"/>
    <w:rsid w:val="00A33D3D"/>
    <w:rsid w:val="00A41D13"/>
    <w:rsid w:val="00A453F4"/>
    <w:rsid w:val="00A5535A"/>
    <w:rsid w:val="00A95018"/>
    <w:rsid w:val="00A97347"/>
    <w:rsid w:val="00AA5B48"/>
    <w:rsid w:val="00AB103F"/>
    <w:rsid w:val="00AF0D68"/>
    <w:rsid w:val="00AF256C"/>
    <w:rsid w:val="00B225B5"/>
    <w:rsid w:val="00B53ACB"/>
    <w:rsid w:val="00BC509B"/>
    <w:rsid w:val="00C85A41"/>
    <w:rsid w:val="00C86FD6"/>
    <w:rsid w:val="00CA5772"/>
    <w:rsid w:val="00CA611F"/>
    <w:rsid w:val="00CF23DB"/>
    <w:rsid w:val="00D17CF3"/>
    <w:rsid w:val="00D47362"/>
    <w:rsid w:val="00D64F80"/>
    <w:rsid w:val="00DB32A0"/>
    <w:rsid w:val="00DE3C69"/>
    <w:rsid w:val="00E159A1"/>
    <w:rsid w:val="00E95B2E"/>
    <w:rsid w:val="00EC49AE"/>
    <w:rsid w:val="00EE23E7"/>
    <w:rsid w:val="00EE4B4B"/>
    <w:rsid w:val="00F639AB"/>
    <w:rsid w:val="00F857DF"/>
    <w:rsid w:val="00FF4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styleId="TableGrid">
    <w:name w:val="Table Grid"/>
    <w:basedOn w:val="TableNormal"/>
    <w:uiPriority w:val="39"/>
    <w:rsid w:val="00E159A1"/>
    <w:pPr>
      <w:autoSpaceDN w:val="0"/>
    </w:pPr>
    <w:rPr>
      <w:rFonts w:eastAsia="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5C2"/>
    <w:pPr>
      <w:ind w:left="720"/>
      <w:contextualSpacing/>
    </w:pPr>
  </w:style>
  <w:style w:type="paragraph" w:customStyle="1" w:styleId="TableRow">
    <w:name w:val="TableRow"/>
    <w:rsid w:val="00CA5772"/>
    <w:pPr>
      <w:suppressAutoHyphens/>
      <w:autoSpaceDN w:val="0"/>
      <w:spacing w:before="60" w:after="60"/>
      <w:ind w:left="57" w:right="57"/>
    </w:pPr>
    <w:rPr>
      <w:rFonts w:eastAsia="Times New Roman" w:cs="Times New Roman"/>
      <w:color w:val="0D0D0D"/>
      <w:sz w:val="24"/>
      <w:szCs w:val="24"/>
      <w:lang w:val="en-GB"/>
    </w:rPr>
  </w:style>
  <w:style w:type="character" w:styleId="Hyperlink">
    <w:name w:val="Hyperlink"/>
    <w:uiPriority w:val="99"/>
    <w:qFormat/>
    <w:rsid w:val="00EE23E7"/>
    <w:rPr>
      <w:rFonts w:ascii="Arial" w:hAnsi="Arial"/>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829612">
      <w:bodyDiv w:val="1"/>
      <w:marLeft w:val="0"/>
      <w:marRight w:val="0"/>
      <w:marTop w:val="0"/>
      <w:marBottom w:val="0"/>
      <w:divBdr>
        <w:top w:val="none" w:sz="0" w:space="0" w:color="auto"/>
        <w:left w:val="none" w:sz="0" w:space="0" w:color="auto"/>
        <w:bottom w:val="none" w:sz="0" w:space="0" w:color="auto"/>
        <w:right w:val="none" w:sz="0" w:space="0" w:color="auto"/>
      </w:divBdr>
    </w:div>
    <w:div w:id="650795033">
      <w:bodyDiv w:val="1"/>
      <w:marLeft w:val="0"/>
      <w:marRight w:val="0"/>
      <w:marTop w:val="0"/>
      <w:marBottom w:val="0"/>
      <w:divBdr>
        <w:top w:val="none" w:sz="0" w:space="0" w:color="auto"/>
        <w:left w:val="none" w:sz="0" w:space="0" w:color="auto"/>
        <w:bottom w:val="none" w:sz="0" w:space="0" w:color="auto"/>
        <w:right w:val="none" w:sz="0" w:space="0" w:color="auto"/>
      </w:divBdr>
    </w:div>
    <w:div w:id="808402302">
      <w:bodyDiv w:val="1"/>
      <w:marLeft w:val="0"/>
      <w:marRight w:val="0"/>
      <w:marTop w:val="0"/>
      <w:marBottom w:val="0"/>
      <w:divBdr>
        <w:top w:val="none" w:sz="0" w:space="0" w:color="auto"/>
        <w:left w:val="none" w:sz="0" w:space="0" w:color="auto"/>
        <w:bottom w:val="none" w:sz="0" w:space="0" w:color="auto"/>
        <w:right w:val="none" w:sz="0" w:space="0" w:color="auto"/>
      </w:divBdr>
      <w:divsChild>
        <w:div w:id="113062809">
          <w:marLeft w:val="0"/>
          <w:marRight w:val="0"/>
          <w:marTop w:val="0"/>
          <w:marBottom w:val="0"/>
          <w:divBdr>
            <w:top w:val="none" w:sz="0" w:space="0" w:color="auto"/>
            <w:left w:val="none" w:sz="0" w:space="0" w:color="auto"/>
            <w:bottom w:val="none" w:sz="0" w:space="0" w:color="auto"/>
            <w:right w:val="none" w:sz="0" w:space="0" w:color="auto"/>
          </w:divBdr>
          <w:divsChild>
            <w:div w:id="136147986">
              <w:marLeft w:val="0"/>
              <w:marRight w:val="0"/>
              <w:marTop w:val="0"/>
              <w:marBottom w:val="0"/>
              <w:divBdr>
                <w:top w:val="none" w:sz="0" w:space="0" w:color="auto"/>
                <w:left w:val="none" w:sz="0" w:space="0" w:color="auto"/>
                <w:bottom w:val="none" w:sz="0" w:space="0" w:color="auto"/>
                <w:right w:val="none" w:sz="0" w:space="0" w:color="auto"/>
              </w:divBdr>
            </w:div>
          </w:divsChild>
        </w:div>
        <w:div w:id="47579988">
          <w:marLeft w:val="0"/>
          <w:marRight w:val="0"/>
          <w:marTop w:val="0"/>
          <w:marBottom w:val="0"/>
          <w:divBdr>
            <w:top w:val="none" w:sz="0" w:space="0" w:color="auto"/>
            <w:left w:val="none" w:sz="0" w:space="0" w:color="auto"/>
            <w:bottom w:val="none" w:sz="0" w:space="0" w:color="auto"/>
            <w:right w:val="none" w:sz="0" w:space="0" w:color="auto"/>
          </w:divBdr>
          <w:divsChild>
            <w:div w:id="342785767">
              <w:marLeft w:val="0"/>
              <w:marRight w:val="0"/>
              <w:marTop w:val="0"/>
              <w:marBottom w:val="0"/>
              <w:divBdr>
                <w:top w:val="none" w:sz="0" w:space="0" w:color="auto"/>
                <w:left w:val="none" w:sz="0" w:space="0" w:color="auto"/>
                <w:bottom w:val="none" w:sz="0" w:space="0" w:color="auto"/>
                <w:right w:val="none" w:sz="0" w:space="0" w:color="auto"/>
              </w:divBdr>
            </w:div>
          </w:divsChild>
        </w:div>
        <w:div w:id="1860312046">
          <w:marLeft w:val="0"/>
          <w:marRight w:val="0"/>
          <w:marTop w:val="0"/>
          <w:marBottom w:val="0"/>
          <w:divBdr>
            <w:top w:val="none" w:sz="0" w:space="0" w:color="auto"/>
            <w:left w:val="none" w:sz="0" w:space="0" w:color="auto"/>
            <w:bottom w:val="none" w:sz="0" w:space="0" w:color="auto"/>
            <w:right w:val="none" w:sz="0" w:space="0" w:color="auto"/>
          </w:divBdr>
          <w:divsChild>
            <w:div w:id="1197306731">
              <w:marLeft w:val="0"/>
              <w:marRight w:val="0"/>
              <w:marTop w:val="0"/>
              <w:marBottom w:val="0"/>
              <w:divBdr>
                <w:top w:val="none" w:sz="0" w:space="0" w:color="auto"/>
                <w:left w:val="none" w:sz="0" w:space="0" w:color="auto"/>
                <w:bottom w:val="none" w:sz="0" w:space="0" w:color="auto"/>
                <w:right w:val="none" w:sz="0" w:space="0" w:color="auto"/>
              </w:divBdr>
            </w:div>
          </w:divsChild>
        </w:div>
        <w:div w:id="881863682">
          <w:marLeft w:val="0"/>
          <w:marRight w:val="0"/>
          <w:marTop w:val="0"/>
          <w:marBottom w:val="0"/>
          <w:divBdr>
            <w:top w:val="none" w:sz="0" w:space="0" w:color="auto"/>
            <w:left w:val="none" w:sz="0" w:space="0" w:color="auto"/>
            <w:bottom w:val="none" w:sz="0" w:space="0" w:color="auto"/>
            <w:right w:val="none" w:sz="0" w:space="0" w:color="auto"/>
          </w:divBdr>
          <w:divsChild>
            <w:div w:id="465971027">
              <w:marLeft w:val="0"/>
              <w:marRight w:val="0"/>
              <w:marTop w:val="0"/>
              <w:marBottom w:val="0"/>
              <w:divBdr>
                <w:top w:val="none" w:sz="0" w:space="0" w:color="auto"/>
                <w:left w:val="none" w:sz="0" w:space="0" w:color="auto"/>
                <w:bottom w:val="none" w:sz="0" w:space="0" w:color="auto"/>
                <w:right w:val="none" w:sz="0" w:space="0" w:color="auto"/>
              </w:divBdr>
            </w:div>
          </w:divsChild>
        </w:div>
        <w:div w:id="559678201">
          <w:marLeft w:val="0"/>
          <w:marRight w:val="0"/>
          <w:marTop w:val="0"/>
          <w:marBottom w:val="0"/>
          <w:divBdr>
            <w:top w:val="none" w:sz="0" w:space="0" w:color="auto"/>
            <w:left w:val="none" w:sz="0" w:space="0" w:color="auto"/>
            <w:bottom w:val="none" w:sz="0" w:space="0" w:color="auto"/>
            <w:right w:val="none" w:sz="0" w:space="0" w:color="auto"/>
          </w:divBdr>
          <w:divsChild>
            <w:div w:id="1623807543">
              <w:marLeft w:val="0"/>
              <w:marRight w:val="0"/>
              <w:marTop w:val="0"/>
              <w:marBottom w:val="0"/>
              <w:divBdr>
                <w:top w:val="none" w:sz="0" w:space="0" w:color="auto"/>
                <w:left w:val="none" w:sz="0" w:space="0" w:color="auto"/>
                <w:bottom w:val="none" w:sz="0" w:space="0" w:color="auto"/>
                <w:right w:val="none" w:sz="0" w:space="0" w:color="auto"/>
              </w:divBdr>
            </w:div>
          </w:divsChild>
        </w:div>
        <w:div w:id="700057973">
          <w:marLeft w:val="0"/>
          <w:marRight w:val="0"/>
          <w:marTop w:val="0"/>
          <w:marBottom w:val="0"/>
          <w:divBdr>
            <w:top w:val="none" w:sz="0" w:space="0" w:color="auto"/>
            <w:left w:val="none" w:sz="0" w:space="0" w:color="auto"/>
            <w:bottom w:val="none" w:sz="0" w:space="0" w:color="auto"/>
            <w:right w:val="none" w:sz="0" w:space="0" w:color="auto"/>
          </w:divBdr>
          <w:divsChild>
            <w:div w:id="355159497">
              <w:marLeft w:val="0"/>
              <w:marRight w:val="0"/>
              <w:marTop w:val="0"/>
              <w:marBottom w:val="0"/>
              <w:divBdr>
                <w:top w:val="none" w:sz="0" w:space="0" w:color="auto"/>
                <w:left w:val="none" w:sz="0" w:space="0" w:color="auto"/>
                <w:bottom w:val="none" w:sz="0" w:space="0" w:color="auto"/>
                <w:right w:val="none" w:sz="0" w:space="0" w:color="auto"/>
              </w:divBdr>
            </w:div>
          </w:divsChild>
        </w:div>
        <w:div w:id="1865827881">
          <w:marLeft w:val="0"/>
          <w:marRight w:val="0"/>
          <w:marTop w:val="0"/>
          <w:marBottom w:val="0"/>
          <w:divBdr>
            <w:top w:val="none" w:sz="0" w:space="0" w:color="auto"/>
            <w:left w:val="none" w:sz="0" w:space="0" w:color="auto"/>
            <w:bottom w:val="none" w:sz="0" w:space="0" w:color="auto"/>
            <w:right w:val="none" w:sz="0" w:space="0" w:color="auto"/>
          </w:divBdr>
          <w:divsChild>
            <w:div w:id="1391422608">
              <w:marLeft w:val="0"/>
              <w:marRight w:val="0"/>
              <w:marTop w:val="0"/>
              <w:marBottom w:val="0"/>
              <w:divBdr>
                <w:top w:val="none" w:sz="0" w:space="0" w:color="auto"/>
                <w:left w:val="none" w:sz="0" w:space="0" w:color="auto"/>
                <w:bottom w:val="none" w:sz="0" w:space="0" w:color="auto"/>
                <w:right w:val="none" w:sz="0" w:space="0" w:color="auto"/>
              </w:divBdr>
            </w:div>
            <w:div w:id="2066053795">
              <w:marLeft w:val="0"/>
              <w:marRight w:val="0"/>
              <w:marTop w:val="0"/>
              <w:marBottom w:val="0"/>
              <w:divBdr>
                <w:top w:val="none" w:sz="0" w:space="0" w:color="auto"/>
                <w:left w:val="none" w:sz="0" w:space="0" w:color="auto"/>
                <w:bottom w:val="none" w:sz="0" w:space="0" w:color="auto"/>
                <w:right w:val="none" w:sz="0" w:space="0" w:color="auto"/>
              </w:divBdr>
            </w:div>
          </w:divsChild>
        </w:div>
        <w:div w:id="481699743">
          <w:marLeft w:val="0"/>
          <w:marRight w:val="0"/>
          <w:marTop w:val="0"/>
          <w:marBottom w:val="0"/>
          <w:divBdr>
            <w:top w:val="none" w:sz="0" w:space="0" w:color="auto"/>
            <w:left w:val="none" w:sz="0" w:space="0" w:color="auto"/>
            <w:bottom w:val="none" w:sz="0" w:space="0" w:color="auto"/>
            <w:right w:val="none" w:sz="0" w:space="0" w:color="auto"/>
          </w:divBdr>
          <w:divsChild>
            <w:div w:id="7223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8903">
      <w:bodyDiv w:val="1"/>
      <w:marLeft w:val="0"/>
      <w:marRight w:val="0"/>
      <w:marTop w:val="0"/>
      <w:marBottom w:val="0"/>
      <w:divBdr>
        <w:top w:val="none" w:sz="0" w:space="0" w:color="auto"/>
        <w:left w:val="none" w:sz="0" w:space="0" w:color="auto"/>
        <w:bottom w:val="none" w:sz="0" w:space="0" w:color="auto"/>
        <w:right w:val="none" w:sz="0" w:space="0" w:color="auto"/>
      </w:divBdr>
    </w:div>
    <w:div w:id="1403409349">
      <w:bodyDiv w:val="1"/>
      <w:marLeft w:val="0"/>
      <w:marRight w:val="0"/>
      <w:marTop w:val="0"/>
      <w:marBottom w:val="0"/>
      <w:divBdr>
        <w:top w:val="none" w:sz="0" w:space="0" w:color="auto"/>
        <w:left w:val="none" w:sz="0" w:space="0" w:color="auto"/>
        <w:bottom w:val="none" w:sz="0" w:space="0" w:color="auto"/>
        <w:right w:val="none" w:sz="0" w:space="0" w:color="auto"/>
      </w:divBdr>
      <w:divsChild>
        <w:div w:id="84227181">
          <w:marLeft w:val="0"/>
          <w:marRight w:val="0"/>
          <w:marTop w:val="0"/>
          <w:marBottom w:val="0"/>
          <w:divBdr>
            <w:top w:val="none" w:sz="0" w:space="0" w:color="auto"/>
            <w:left w:val="none" w:sz="0" w:space="0" w:color="auto"/>
            <w:bottom w:val="none" w:sz="0" w:space="0" w:color="auto"/>
            <w:right w:val="none" w:sz="0" w:space="0" w:color="auto"/>
          </w:divBdr>
          <w:divsChild>
            <w:div w:id="1388144634">
              <w:marLeft w:val="0"/>
              <w:marRight w:val="0"/>
              <w:marTop w:val="0"/>
              <w:marBottom w:val="0"/>
              <w:divBdr>
                <w:top w:val="none" w:sz="0" w:space="0" w:color="auto"/>
                <w:left w:val="none" w:sz="0" w:space="0" w:color="auto"/>
                <w:bottom w:val="none" w:sz="0" w:space="0" w:color="auto"/>
                <w:right w:val="none" w:sz="0" w:space="0" w:color="auto"/>
              </w:divBdr>
            </w:div>
          </w:divsChild>
        </w:div>
        <w:div w:id="659425837">
          <w:marLeft w:val="0"/>
          <w:marRight w:val="0"/>
          <w:marTop w:val="0"/>
          <w:marBottom w:val="0"/>
          <w:divBdr>
            <w:top w:val="none" w:sz="0" w:space="0" w:color="auto"/>
            <w:left w:val="none" w:sz="0" w:space="0" w:color="auto"/>
            <w:bottom w:val="none" w:sz="0" w:space="0" w:color="auto"/>
            <w:right w:val="none" w:sz="0" w:space="0" w:color="auto"/>
          </w:divBdr>
          <w:divsChild>
            <w:div w:id="1614171796">
              <w:marLeft w:val="0"/>
              <w:marRight w:val="0"/>
              <w:marTop w:val="0"/>
              <w:marBottom w:val="0"/>
              <w:divBdr>
                <w:top w:val="none" w:sz="0" w:space="0" w:color="auto"/>
                <w:left w:val="none" w:sz="0" w:space="0" w:color="auto"/>
                <w:bottom w:val="none" w:sz="0" w:space="0" w:color="auto"/>
                <w:right w:val="none" w:sz="0" w:space="0" w:color="auto"/>
              </w:divBdr>
            </w:div>
          </w:divsChild>
        </w:div>
        <w:div w:id="1249652553">
          <w:marLeft w:val="0"/>
          <w:marRight w:val="0"/>
          <w:marTop w:val="0"/>
          <w:marBottom w:val="0"/>
          <w:divBdr>
            <w:top w:val="none" w:sz="0" w:space="0" w:color="auto"/>
            <w:left w:val="none" w:sz="0" w:space="0" w:color="auto"/>
            <w:bottom w:val="none" w:sz="0" w:space="0" w:color="auto"/>
            <w:right w:val="none" w:sz="0" w:space="0" w:color="auto"/>
          </w:divBdr>
          <w:divsChild>
            <w:div w:id="1513447035">
              <w:marLeft w:val="0"/>
              <w:marRight w:val="0"/>
              <w:marTop w:val="0"/>
              <w:marBottom w:val="0"/>
              <w:divBdr>
                <w:top w:val="none" w:sz="0" w:space="0" w:color="auto"/>
                <w:left w:val="none" w:sz="0" w:space="0" w:color="auto"/>
                <w:bottom w:val="none" w:sz="0" w:space="0" w:color="auto"/>
                <w:right w:val="none" w:sz="0" w:space="0" w:color="auto"/>
              </w:divBdr>
            </w:div>
          </w:divsChild>
        </w:div>
        <w:div w:id="1994605416">
          <w:marLeft w:val="0"/>
          <w:marRight w:val="0"/>
          <w:marTop w:val="0"/>
          <w:marBottom w:val="0"/>
          <w:divBdr>
            <w:top w:val="none" w:sz="0" w:space="0" w:color="auto"/>
            <w:left w:val="none" w:sz="0" w:space="0" w:color="auto"/>
            <w:bottom w:val="none" w:sz="0" w:space="0" w:color="auto"/>
            <w:right w:val="none" w:sz="0" w:space="0" w:color="auto"/>
          </w:divBdr>
          <w:divsChild>
            <w:div w:id="631134084">
              <w:marLeft w:val="0"/>
              <w:marRight w:val="0"/>
              <w:marTop w:val="0"/>
              <w:marBottom w:val="0"/>
              <w:divBdr>
                <w:top w:val="none" w:sz="0" w:space="0" w:color="auto"/>
                <w:left w:val="none" w:sz="0" w:space="0" w:color="auto"/>
                <w:bottom w:val="none" w:sz="0" w:space="0" w:color="auto"/>
                <w:right w:val="none" w:sz="0" w:space="0" w:color="auto"/>
              </w:divBdr>
            </w:div>
          </w:divsChild>
        </w:div>
        <w:div w:id="294264018">
          <w:marLeft w:val="0"/>
          <w:marRight w:val="0"/>
          <w:marTop w:val="0"/>
          <w:marBottom w:val="0"/>
          <w:divBdr>
            <w:top w:val="none" w:sz="0" w:space="0" w:color="auto"/>
            <w:left w:val="none" w:sz="0" w:space="0" w:color="auto"/>
            <w:bottom w:val="none" w:sz="0" w:space="0" w:color="auto"/>
            <w:right w:val="none" w:sz="0" w:space="0" w:color="auto"/>
          </w:divBdr>
          <w:divsChild>
            <w:div w:id="280647496">
              <w:marLeft w:val="0"/>
              <w:marRight w:val="0"/>
              <w:marTop w:val="0"/>
              <w:marBottom w:val="0"/>
              <w:divBdr>
                <w:top w:val="none" w:sz="0" w:space="0" w:color="auto"/>
                <w:left w:val="none" w:sz="0" w:space="0" w:color="auto"/>
                <w:bottom w:val="none" w:sz="0" w:space="0" w:color="auto"/>
                <w:right w:val="none" w:sz="0" w:space="0" w:color="auto"/>
              </w:divBdr>
            </w:div>
          </w:divsChild>
        </w:div>
        <w:div w:id="1632318328">
          <w:marLeft w:val="0"/>
          <w:marRight w:val="0"/>
          <w:marTop w:val="0"/>
          <w:marBottom w:val="0"/>
          <w:divBdr>
            <w:top w:val="none" w:sz="0" w:space="0" w:color="auto"/>
            <w:left w:val="none" w:sz="0" w:space="0" w:color="auto"/>
            <w:bottom w:val="none" w:sz="0" w:space="0" w:color="auto"/>
            <w:right w:val="none" w:sz="0" w:space="0" w:color="auto"/>
          </w:divBdr>
          <w:divsChild>
            <w:div w:id="987589809">
              <w:marLeft w:val="0"/>
              <w:marRight w:val="0"/>
              <w:marTop w:val="0"/>
              <w:marBottom w:val="0"/>
              <w:divBdr>
                <w:top w:val="none" w:sz="0" w:space="0" w:color="auto"/>
                <w:left w:val="none" w:sz="0" w:space="0" w:color="auto"/>
                <w:bottom w:val="none" w:sz="0" w:space="0" w:color="auto"/>
                <w:right w:val="none" w:sz="0" w:space="0" w:color="auto"/>
              </w:divBdr>
            </w:div>
          </w:divsChild>
        </w:div>
        <w:div w:id="1974284519">
          <w:marLeft w:val="0"/>
          <w:marRight w:val="0"/>
          <w:marTop w:val="0"/>
          <w:marBottom w:val="0"/>
          <w:divBdr>
            <w:top w:val="none" w:sz="0" w:space="0" w:color="auto"/>
            <w:left w:val="none" w:sz="0" w:space="0" w:color="auto"/>
            <w:bottom w:val="none" w:sz="0" w:space="0" w:color="auto"/>
            <w:right w:val="none" w:sz="0" w:space="0" w:color="auto"/>
          </w:divBdr>
          <w:divsChild>
            <w:div w:id="160463670">
              <w:marLeft w:val="0"/>
              <w:marRight w:val="0"/>
              <w:marTop w:val="0"/>
              <w:marBottom w:val="0"/>
              <w:divBdr>
                <w:top w:val="none" w:sz="0" w:space="0" w:color="auto"/>
                <w:left w:val="none" w:sz="0" w:space="0" w:color="auto"/>
                <w:bottom w:val="none" w:sz="0" w:space="0" w:color="auto"/>
                <w:right w:val="none" w:sz="0" w:space="0" w:color="auto"/>
              </w:divBdr>
            </w:div>
          </w:divsChild>
        </w:div>
        <w:div w:id="1394499553">
          <w:marLeft w:val="0"/>
          <w:marRight w:val="0"/>
          <w:marTop w:val="0"/>
          <w:marBottom w:val="0"/>
          <w:divBdr>
            <w:top w:val="none" w:sz="0" w:space="0" w:color="auto"/>
            <w:left w:val="none" w:sz="0" w:space="0" w:color="auto"/>
            <w:bottom w:val="none" w:sz="0" w:space="0" w:color="auto"/>
            <w:right w:val="none" w:sz="0" w:space="0" w:color="auto"/>
          </w:divBdr>
          <w:divsChild>
            <w:div w:id="616982964">
              <w:marLeft w:val="0"/>
              <w:marRight w:val="0"/>
              <w:marTop w:val="0"/>
              <w:marBottom w:val="0"/>
              <w:divBdr>
                <w:top w:val="none" w:sz="0" w:space="0" w:color="auto"/>
                <w:left w:val="none" w:sz="0" w:space="0" w:color="auto"/>
                <w:bottom w:val="none" w:sz="0" w:space="0" w:color="auto"/>
                <w:right w:val="none" w:sz="0" w:space="0" w:color="auto"/>
              </w:divBdr>
            </w:div>
          </w:divsChild>
        </w:div>
        <w:div w:id="1078019263">
          <w:marLeft w:val="0"/>
          <w:marRight w:val="0"/>
          <w:marTop w:val="0"/>
          <w:marBottom w:val="0"/>
          <w:divBdr>
            <w:top w:val="none" w:sz="0" w:space="0" w:color="auto"/>
            <w:left w:val="none" w:sz="0" w:space="0" w:color="auto"/>
            <w:bottom w:val="none" w:sz="0" w:space="0" w:color="auto"/>
            <w:right w:val="none" w:sz="0" w:space="0" w:color="auto"/>
          </w:divBdr>
          <w:divsChild>
            <w:div w:id="1441879311">
              <w:marLeft w:val="0"/>
              <w:marRight w:val="0"/>
              <w:marTop w:val="0"/>
              <w:marBottom w:val="0"/>
              <w:divBdr>
                <w:top w:val="none" w:sz="0" w:space="0" w:color="auto"/>
                <w:left w:val="none" w:sz="0" w:space="0" w:color="auto"/>
                <w:bottom w:val="none" w:sz="0" w:space="0" w:color="auto"/>
                <w:right w:val="none" w:sz="0" w:space="0" w:color="auto"/>
              </w:divBdr>
            </w:div>
          </w:divsChild>
        </w:div>
        <w:div w:id="962539193">
          <w:marLeft w:val="0"/>
          <w:marRight w:val="0"/>
          <w:marTop w:val="0"/>
          <w:marBottom w:val="0"/>
          <w:divBdr>
            <w:top w:val="none" w:sz="0" w:space="0" w:color="auto"/>
            <w:left w:val="none" w:sz="0" w:space="0" w:color="auto"/>
            <w:bottom w:val="none" w:sz="0" w:space="0" w:color="auto"/>
            <w:right w:val="none" w:sz="0" w:space="0" w:color="auto"/>
          </w:divBdr>
          <w:divsChild>
            <w:div w:id="2073691605">
              <w:marLeft w:val="0"/>
              <w:marRight w:val="0"/>
              <w:marTop w:val="0"/>
              <w:marBottom w:val="0"/>
              <w:divBdr>
                <w:top w:val="none" w:sz="0" w:space="0" w:color="auto"/>
                <w:left w:val="none" w:sz="0" w:space="0" w:color="auto"/>
                <w:bottom w:val="none" w:sz="0" w:space="0" w:color="auto"/>
                <w:right w:val="none" w:sz="0" w:space="0" w:color="auto"/>
              </w:divBdr>
            </w:div>
          </w:divsChild>
        </w:div>
        <w:div w:id="1656447695">
          <w:marLeft w:val="0"/>
          <w:marRight w:val="0"/>
          <w:marTop w:val="0"/>
          <w:marBottom w:val="0"/>
          <w:divBdr>
            <w:top w:val="none" w:sz="0" w:space="0" w:color="auto"/>
            <w:left w:val="none" w:sz="0" w:space="0" w:color="auto"/>
            <w:bottom w:val="none" w:sz="0" w:space="0" w:color="auto"/>
            <w:right w:val="none" w:sz="0" w:space="0" w:color="auto"/>
          </w:divBdr>
          <w:divsChild>
            <w:div w:id="242839192">
              <w:marLeft w:val="0"/>
              <w:marRight w:val="0"/>
              <w:marTop w:val="0"/>
              <w:marBottom w:val="0"/>
              <w:divBdr>
                <w:top w:val="none" w:sz="0" w:space="0" w:color="auto"/>
                <w:left w:val="none" w:sz="0" w:space="0" w:color="auto"/>
                <w:bottom w:val="none" w:sz="0" w:space="0" w:color="auto"/>
                <w:right w:val="none" w:sz="0" w:space="0" w:color="auto"/>
              </w:divBdr>
            </w:div>
          </w:divsChild>
        </w:div>
        <w:div w:id="1164780055">
          <w:marLeft w:val="0"/>
          <w:marRight w:val="0"/>
          <w:marTop w:val="0"/>
          <w:marBottom w:val="0"/>
          <w:divBdr>
            <w:top w:val="none" w:sz="0" w:space="0" w:color="auto"/>
            <w:left w:val="none" w:sz="0" w:space="0" w:color="auto"/>
            <w:bottom w:val="none" w:sz="0" w:space="0" w:color="auto"/>
            <w:right w:val="none" w:sz="0" w:space="0" w:color="auto"/>
          </w:divBdr>
          <w:divsChild>
            <w:div w:id="1367178938">
              <w:marLeft w:val="0"/>
              <w:marRight w:val="0"/>
              <w:marTop w:val="0"/>
              <w:marBottom w:val="0"/>
              <w:divBdr>
                <w:top w:val="none" w:sz="0" w:space="0" w:color="auto"/>
                <w:left w:val="none" w:sz="0" w:space="0" w:color="auto"/>
                <w:bottom w:val="none" w:sz="0" w:space="0" w:color="auto"/>
                <w:right w:val="none" w:sz="0" w:space="0" w:color="auto"/>
              </w:divBdr>
            </w:div>
          </w:divsChild>
        </w:div>
        <w:div w:id="152844418">
          <w:marLeft w:val="0"/>
          <w:marRight w:val="0"/>
          <w:marTop w:val="0"/>
          <w:marBottom w:val="0"/>
          <w:divBdr>
            <w:top w:val="none" w:sz="0" w:space="0" w:color="auto"/>
            <w:left w:val="none" w:sz="0" w:space="0" w:color="auto"/>
            <w:bottom w:val="none" w:sz="0" w:space="0" w:color="auto"/>
            <w:right w:val="none" w:sz="0" w:space="0" w:color="auto"/>
          </w:divBdr>
          <w:divsChild>
            <w:div w:id="1769616298">
              <w:marLeft w:val="0"/>
              <w:marRight w:val="0"/>
              <w:marTop w:val="0"/>
              <w:marBottom w:val="0"/>
              <w:divBdr>
                <w:top w:val="none" w:sz="0" w:space="0" w:color="auto"/>
                <w:left w:val="none" w:sz="0" w:space="0" w:color="auto"/>
                <w:bottom w:val="none" w:sz="0" w:space="0" w:color="auto"/>
                <w:right w:val="none" w:sz="0" w:space="0" w:color="auto"/>
              </w:divBdr>
            </w:div>
          </w:divsChild>
        </w:div>
        <w:div w:id="2070376415">
          <w:marLeft w:val="0"/>
          <w:marRight w:val="0"/>
          <w:marTop w:val="0"/>
          <w:marBottom w:val="0"/>
          <w:divBdr>
            <w:top w:val="none" w:sz="0" w:space="0" w:color="auto"/>
            <w:left w:val="none" w:sz="0" w:space="0" w:color="auto"/>
            <w:bottom w:val="none" w:sz="0" w:space="0" w:color="auto"/>
            <w:right w:val="none" w:sz="0" w:space="0" w:color="auto"/>
          </w:divBdr>
          <w:divsChild>
            <w:div w:id="1595897277">
              <w:marLeft w:val="0"/>
              <w:marRight w:val="0"/>
              <w:marTop w:val="0"/>
              <w:marBottom w:val="0"/>
              <w:divBdr>
                <w:top w:val="none" w:sz="0" w:space="0" w:color="auto"/>
                <w:left w:val="none" w:sz="0" w:space="0" w:color="auto"/>
                <w:bottom w:val="none" w:sz="0" w:space="0" w:color="auto"/>
                <w:right w:val="none" w:sz="0" w:space="0" w:color="auto"/>
              </w:divBdr>
            </w:div>
          </w:divsChild>
        </w:div>
        <w:div w:id="1034698028">
          <w:marLeft w:val="0"/>
          <w:marRight w:val="0"/>
          <w:marTop w:val="0"/>
          <w:marBottom w:val="0"/>
          <w:divBdr>
            <w:top w:val="none" w:sz="0" w:space="0" w:color="auto"/>
            <w:left w:val="none" w:sz="0" w:space="0" w:color="auto"/>
            <w:bottom w:val="none" w:sz="0" w:space="0" w:color="auto"/>
            <w:right w:val="none" w:sz="0" w:space="0" w:color="auto"/>
          </w:divBdr>
          <w:divsChild>
            <w:div w:id="1675301193">
              <w:marLeft w:val="0"/>
              <w:marRight w:val="0"/>
              <w:marTop w:val="0"/>
              <w:marBottom w:val="0"/>
              <w:divBdr>
                <w:top w:val="none" w:sz="0" w:space="0" w:color="auto"/>
                <w:left w:val="none" w:sz="0" w:space="0" w:color="auto"/>
                <w:bottom w:val="none" w:sz="0" w:space="0" w:color="auto"/>
                <w:right w:val="none" w:sz="0" w:space="0" w:color="auto"/>
              </w:divBdr>
            </w:div>
          </w:divsChild>
        </w:div>
        <w:div w:id="1197767619">
          <w:marLeft w:val="0"/>
          <w:marRight w:val="0"/>
          <w:marTop w:val="0"/>
          <w:marBottom w:val="0"/>
          <w:divBdr>
            <w:top w:val="none" w:sz="0" w:space="0" w:color="auto"/>
            <w:left w:val="none" w:sz="0" w:space="0" w:color="auto"/>
            <w:bottom w:val="none" w:sz="0" w:space="0" w:color="auto"/>
            <w:right w:val="none" w:sz="0" w:space="0" w:color="auto"/>
          </w:divBdr>
          <w:divsChild>
            <w:div w:id="1421609283">
              <w:marLeft w:val="0"/>
              <w:marRight w:val="0"/>
              <w:marTop w:val="0"/>
              <w:marBottom w:val="0"/>
              <w:divBdr>
                <w:top w:val="none" w:sz="0" w:space="0" w:color="auto"/>
                <w:left w:val="none" w:sz="0" w:space="0" w:color="auto"/>
                <w:bottom w:val="none" w:sz="0" w:space="0" w:color="auto"/>
                <w:right w:val="none" w:sz="0" w:space="0" w:color="auto"/>
              </w:divBdr>
            </w:div>
          </w:divsChild>
        </w:div>
        <w:div w:id="27147603">
          <w:marLeft w:val="0"/>
          <w:marRight w:val="0"/>
          <w:marTop w:val="0"/>
          <w:marBottom w:val="0"/>
          <w:divBdr>
            <w:top w:val="none" w:sz="0" w:space="0" w:color="auto"/>
            <w:left w:val="none" w:sz="0" w:space="0" w:color="auto"/>
            <w:bottom w:val="none" w:sz="0" w:space="0" w:color="auto"/>
            <w:right w:val="none" w:sz="0" w:space="0" w:color="auto"/>
          </w:divBdr>
          <w:divsChild>
            <w:div w:id="379207317">
              <w:marLeft w:val="0"/>
              <w:marRight w:val="0"/>
              <w:marTop w:val="0"/>
              <w:marBottom w:val="0"/>
              <w:divBdr>
                <w:top w:val="none" w:sz="0" w:space="0" w:color="auto"/>
                <w:left w:val="none" w:sz="0" w:space="0" w:color="auto"/>
                <w:bottom w:val="none" w:sz="0" w:space="0" w:color="auto"/>
                <w:right w:val="none" w:sz="0" w:space="0" w:color="auto"/>
              </w:divBdr>
            </w:div>
          </w:divsChild>
        </w:div>
        <w:div w:id="2006129491">
          <w:marLeft w:val="0"/>
          <w:marRight w:val="0"/>
          <w:marTop w:val="0"/>
          <w:marBottom w:val="0"/>
          <w:divBdr>
            <w:top w:val="none" w:sz="0" w:space="0" w:color="auto"/>
            <w:left w:val="none" w:sz="0" w:space="0" w:color="auto"/>
            <w:bottom w:val="none" w:sz="0" w:space="0" w:color="auto"/>
            <w:right w:val="none" w:sz="0" w:space="0" w:color="auto"/>
          </w:divBdr>
          <w:divsChild>
            <w:div w:id="61494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3421">
      <w:bodyDiv w:val="1"/>
      <w:marLeft w:val="0"/>
      <w:marRight w:val="0"/>
      <w:marTop w:val="0"/>
      <w:marBottom w:val="0"/>
      <w:divBdr>
        <w:top w:val="none" w:sz="0" w:space="0" w:color="auto"/>
        <w:left w:val="none" w:sz="0" w:space="0" w:color="auto"/>
        <w:bottom w:val="none" w:sz="0" w:space="0" w:color="auto"/>
        <w:right w:val="none" w:sz="0" w:space="0" w:color="auto"/>
      </w:divBdr>
      <w:divsChild>
        <w:div w:id="368839922">
          <w:marLeft w:val="0"/>
          <w:marRight w:val="0"/>
          <w:marTop w:val="0"/>
          <w:marBottom w:val="0"/>
          <w:divBdr>
            <w:top w:val="none" w:sz="0" w:space="0" w:color="auto"/>
            <w:left w:val="none" w:sz="0" w:space="0" w:color="auto"/>
            <w:bottom w:val="none" w:sz="0" w:space="0" w:color="auto"/>
            <w:right w:val="none" w:sz="0" w:space="0" w:color="auto"/>
          </w:divBdr>
          <w:divsChild>
            <w:div w:id="2051801242">
              <w:marLeft w:val="0"/>
              <w:marRight w:val="0"/>
              <w:marTop w:val="0"/>
              <w:marBottom w:val="0"/>
              <w:divBdr>
                <w:top w:val="none" w:sz="0" w:space="0" w:color="auto"/>
                <w:left w:val="none" w:sz="0" w:space="0" w:color="auto"/>
                <w:bottom w:val="none" w:sz="0" w:space="0" w:color="auto"/>
                <w:right w:val="none" w:sz="0" w:space="0" w:color="auto"/>
              </w:divBdr>
            </w:div>
          </w:divsChild>
        </w:div>
        <w:div w:id="1759904309">
          <w:marLeft w:val="0"/>
          <w:marRight w:val="0"/>
          <w:marTop w:val="0"/>
          <w:marBottom w:val="0"/>
          <w:divBdr>
            <w:top w:val="none" w:sz="0" w:space="0" w:color="auto"/>
            <w:left w:val="none" w:sz="0" w:space="0" w:color="auto"/>
            <w:bottom w:val="none" w:sz="0" w:space="0" w:color="auto"/>
            <w:right w:val="none" w:sz="0" w:space="0" w:color="auto"/>
          </w:divBdr>
          <w:divsChild>
            <w:div w:id="867183999">
              <w:marLeft w:val="0"/>
              <w:marRight w:val="0"/>
              <w:marTop w:val="0"/>
              <w:marBottom w:val="0"/>
              <w:divBdr>
                <w:top w:val="none" w:sz="0" w:space="0" w:color="auto"/>
                <w:left w:val="none" w:sz="0" w:space="0" w:color="auto"/>
                <w:bottom w:val="none" w:sz="0" w:space="0" w:color="auto"/>
                <w:right w:val="none" w:sz="0" w:space="0" w:color="auto"/>
              </w:divBdr>
            </w:div>
          </w:divsChild>
        </w:div>
        <w:div w:id="1241450245">
          <w:marLeft w:val="0"/>
          <w:marRight w:val="0"/>
          <w:marTop w:val="0"/>
          <w:marBottom w:val="0"/>
          <w:divBdr>
            <w:top w:val="none" w:sz="0" w:space="0" w:color="auto"/>
            <w:left w:val="none" w:sz="0" w:space="0" w:color="auto"/>
            <w:bottom w:val="none" w:sz="0" w:space="0" w:color="auto"/>
            <w:right w:val="none" w:sz="0" w:space="0" w:color="auto"/>
          </w:divBdr>
          <w:divsChild>
            <w:div w:id="766728934">
              <w:marLeft w:val="0"/>
              <w:marRight w:val="0"/>
              <w:marTop w:val="0"/>
              <w:marBottom w:val="0"/>
              <w:divBdr>
                <w:top w:val="none" w:sz="0" w:space="0" w:color="auto"/>
                <w:left w:val="none" w:sz="0" w:space="0" w:color="auto"/>
                <w:bottom w:val="none" w:sz="0" w:space="0" w:color="auto"/>
                <w:right w:val="none" w:sz="0" w:space="0" w:color="auto"/>
              </w:divBdr>
            </w:div>
          </w:divsChild>
        </w:div>
        <w:div w:id="323822715">
          <w:marLeft w:val="0"/>
          <w:marRight w:val="0"/>
          <w:marTop w:val="0"/>
          <w:marBottom w:val="0"/>
          <w:divBdr>
            <w:top w:val="none" w:sz="0" w:space="0" w:color="auto"/>
            <w:left w:val="none" w:sz="0" w:space="0" w:color="auto"/>
            <w:bottom w:val="none" w:sz="0" w:space="0" w:color="auto"/>
            <w:right w:val="none" w:sz="0" w:space="0" w:color="auto"/>
          </w:divBdr>
          <w:divsChild>
            <w:div w:id="1268081932">
              <w:marLeft w:val="0"/>
              <w:marRight w:val="0"/>
              <w:marTop w:val="0"/>
              <w:marBottom w:val="0"/>
              <w:divBdr>
                <w:top w:val="none" w:sz="0" w:space="0" w:color="auto"/>
                <w:left w:val="none" w:sz="0" w:space="0" w:color="auto"/>
                <w:bottom w:val="none" w:sz="0" w:space="0" w:color="auto"/>
                <w:right w:val="none" w:sz="0" w:space="0" w:color="auto"/>
              </w:divBdr>
            </w:div>
          </w:divsChild>
        </w:div>
        <w:div w:id="729351679">
          <w:marLeft w:val="0"/>
          <w:marRight w:val="0"/>
          <w:marTop w:val="0"/>
          <w:marBottom w:val="0"/>
          <w:divBdr>
            <w:top w:val="none" w:sz="0" w:space="0" w:color="auto"/>
            <w:left w:val="none" w:sz="0" w:space="0" w:color="auto"/>
            <w:bottom w:val="none" w:sz="0" w:space="0" w:color="auto"/>
            <w:right w:val="none" w:sz="0" w:space="0" w:color="auto"/>
          </w:divBdr>
          <w:divsChild>
            <w:div w:id="89854982">
              <w:marLeft w:val="0"/>
              <w:marRight w:val="0"/>
              <w:marTop w:val="0"/>
              <w:marBottom w:val="0"/>
              <w:divBdr>
                <w:top w:val="none" w:sz="0" w:space="0" w:color="auto"/>
                <w:left w:val="none" w:sz="0" w:space="0" w:color="auto"/>
                <w:bottom w:val="none" w:sz="0" w:space="0" w:color="auto"/>
                <w:right w:val="none" w:sz="0" w:space="0" w:color="auto"/>
              </w:divBdr>
            </w:div>
          </w:divsChild>
        </w:div>
        <w:div w:id="1845822858">
          <w:marLeft w:val="0"/>
          <w:marRight w:val="0"/>
          <w:marTop w:val="0"/>
          <w:marBottom w:val="0"/>
          <w:divBdr>
            <w:top w:val="none" w:sz="0" w:space="0" w:color="auto"/>
            <w:left w:val="none" w:sz="0" w:space="0" w:color="auto"/>
            <w:bottom w:val="none" w:sz="0" w:space="0" w:color="auto"/>
            <w:right w:val="none" w:sz="0" w:space="0" w:color="auto"/>
          </w:divBdr>
          <w:divsChild>
            <w:div w:id="380445891">
              <w:marLeft w:val="0"/>
              <w:marRight w:val="0"/>
              <w:marTop w:val="0"/>
              <w:marBottom w:val="0"/>
              <w:divBdr>
                <w:top w:val="none" w:sz="0" w:space="0" w:color="auto"/>
                <w:left w:val="none" w:sz="0" w:space="0" w:color="auto"/>
                <w:bottom w:val="none" w:sz="0" w:space="0" w:color="auto"/>
                <w:right w:val="none" w:sz="0" w:space="0" w:color="auto"/>
              </w:divBdr>
            </w:div>
          </w:divsChild>
        </w:div>
        <w:div w:id="1080176563">
          <w:marLeft w:val="0"/>
          <w:marRight w:val="0"/>
          <w:marTop w:val="0"/>
          <w:marBottom w:val="0"/>
          <w:divBdr>
            <w:top w:val="none" w:sz="0" w:space="0" w:color="auto"/>
            <w:left w:val="none" w:sz="0" w:space="0" w:color="auto"/>
            <w:bottom w:val="none" w:sz="0" w:space="0" w:color="auto"/>
            <w:right w:val="none" w:sz="0" w:space="0" w:color="auto"/>
          </w:divBdr>
          <w:divsChild>
            <w:div w:id="57360962">
              <w:marLeft w:val="0"/>
              <w:marRight w:val="0"/>
              <w:marTop w:val="0"/>
              <w:marBottom w:val="0"/>
              <w:divBdr>
                <w:top w:val="none" w:sz="0" w:space="0" w:color="auto"/>
                <w:left w:val="none" w:sz="0" w:space="0" w:color="auto"/>
                <w:bottom w:val="none" w:sz="0" w:space="0" w:color="auto"/>
                <w:right w:val="none" w:sz="0" w:space="0" w:color="auto"/>
              </w:divBdr>
            </w:div>
            <w:div w:id="129859258">
              <w:marLeft w:val="0"/>
              <w:marRight w:val="0"/>
              <w:marTop w:val="0"/>
              <w:marBottom w:val="0"/>
              <w:divBdr>
                <w:top w:val="none" w:sz="0" w:space="0" w:color="auto"/>
                <w:left w:val="none" w:sz="0" w:space="0" w:color="auto"/>
                <w:bottom w:val="none" w:sz="0" w:space="0" w:color="auto"/>
                <w:right w:val="none" w:sz="0" w:space="0" w:color="auto"/>
              </w:divBdr>
            </w:div>
          </w:divsChild>
        </w:div>
        <w:div w:id="259220321">
          <w:marLeft w:val="0"/>
          <w:marRight w:val="0"/>
          <w:marTop w:val="0"/>
          <w:marBottom w:val="0"/>
          <w:divBdr>
            <w:top w:val="none" w:sz="0" w:space="0" w:color="auto"/>
            <w:left w:val="none" w:sz="0" w:space="0" w:color="auto"/>
            <w:bottom w:val="none" w:sz="0" w:space="0" w:color="auto"/>
            <w:right w:val="none" w:sz="0" w:space="0" w:color="auto"/>
          </w:divBdr>
          <w:divsChild>
            <w:div w:id="19931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9210">
      <w:bodyDiv w:val="1"/>
      <w:marLeft w:val="0"/>
      <w:marRight w:val="0"/>
      <w:marTop w:val="0"/>
      <w:marBottom w:val="0"/>
      <w:divBdr>
        <w:top w:val="none" w:sz="0" w:space="0" w:color="auto"/>
        <w:left w:val="none" w:sz="0" w:space="0" w:color="auto"/>
        <w:bottom w:val="none" w:sz="0" w:space="0" w:color="auto"/>
        <w:right w:val="none" w:sz="0" w:space="0" w:color="auto"/>
      </w:divBdr>
    </w:div>
    <w:div w:id="1899318850">
      <w:bodyDiv w:val="1"/>
      <w:marLeft w:val="0"/>
      <w:marRight w:val="0"/>
      <w:marTop w:val="0"/>
      <w:marBottom w:val="0"/>
      <w:divBdr>
        <w:top w:val="none" w:sz="0" w:space="0" w:color="auto"/>
        <w:left w:val="none" w:sz="0" w:space="0" w:color="auto"/>
        <w:bottom w:val="none" w:sz="0" w:space="0" w:color="auto"/>
        <w:right w:val="none" w:sz="0" w:space="0" w:color="auto"/>
      </w:divBdr>
    </w:div>
    <w:div w:id="2090232150">
      <w:bodyDiv w:val="1"/>
      <w:marLeft w:val="0"/>
      <w:marRight w:val="0"/>
      <w:marTop w:val="0"/>
      <w:marBottom w:val="0"/>
      <w:divBdr>
        <w:top w:val="none" w:sz="0" w:space="0" w:color="auto"/>
        <w:left w:val="none" w:sz="0" w:space="0" w:color="auto"/>
        <w:bottom w:val="none" w:sz="0" w:space="0" w:color="auto"/>
        <w:right w:val="none" w:sz="0" w:space="0" w:color="auto"/>
      </w:divBdr>
      <w:divsChild>
        <w:div w:id="1336415958">
          <w:marLeft w:val="0"/>
          <w:marRight w:val="0"/>
          <w:marTop w:val="0"/>
          <w:marBottom w:val="0"/>
          <w:divBdr>
            <w:top w:val="none" w:sz="0" w:space="0" w:color="auto"/>
            <w:left w:val="none" w:sz="0" w:space="0" w:color="auto"/>
            <w:bottom w:val="none" w:sz="0" w:space="0" w:color="auto"/>
            <w:right w:val="none" w:sz="0" w:space="0" w:color="auto"/>
          </w:divBdr>
          <w:divsChild>
            <w:div w:id="641429901">
              <w:marLeft w:val="0"/>
              <w:marRight w:val="0"/>
              <w:marTop w:val="0"/>
              <w:marBottom w:val="0"/>
              <w:divBdr>
                <w:top w:val="none" w:sz="0" w:space="0" w:color="auto"/>
                <w:left w:val="none" w:sz="0" w:space="0" w:color="auto"/>
                <w:bottom w:val="none" w:sz="0" w:space="0" w:color="auto"/>
                <w:right w:val="none" w:sz="0" w:space="0" w:color="auto"/>
              </w:divBdr>
            </w:div>
          </w:divsChild>
        </w:div>
        <w:div w:id="152065538">
          <w:marLeft w:val="0"/>
          <w:marRight w:val="0"/>
          <w:marTop w:val="0"/>
          <w:marBottom w:val="0"/>
          <w:divBdr>
            <w:top w:val="none" w:sz="0" w:space="0" w:color="auto"/>
            <w:left w:val="none" w:sz="0" w:space="0" w:color="auto"/>
            <w:bottom w:val="none" w:sz="0" w:space="0" w:color="auto"/>
            <w:right w:val="none" w:sz="0" w:space="0" w:color="auto"/>
          </w:divBdr>
          <w:divsChild>
            <w:div w:id="613754739">
              <w:marLeft w:val="0"/>
              <w:marRight w:val="0"/>
              <w:marTop w:val="0"/>
              <w:marBottom w:val="0"/>
              <w:divBdr>
                <w:top w:val="none" w:sz="0" w:space="0" w:color="auto"/>
                <w:left w:val="none" w:sz="0" w:space="0" w:color="auto"/>
                <w:bottom w:val="none" w:sz="0" w:space="0" w:color="auto"/>
                <w:right w:val="none" w:sz="0" w:space="0" w:color="auto"/>
              </w:divBdr>
            </w:div>
          </w:divsChild>
        </w:div>
        <w:div w:id="932712964">
          <w:marLeft w:val="0"/>
          <w:marRight w:val="0"/>
          <w:marTop w:val="0"/>
          <w:marBottom w:val="0"/>
          <w:divBdr>
            <w:top w:val="none" w:sz="0" w:space="0" w:color="auto"/>
            <w:left w:val="none" w:sz="0" w:space="0" w:color="auto"/>
            <w:bottom w:val="none" w:sz="0" w:space="0" w:color="auto"/>
            <w:right w:val="none" w:sz="0" w:space="0" w:color="auto"/>
          </w:divBdr>
          <w:divsChild>
            <w:div w:id="613292125">
              <w:marLeft w:val="0"/>
              <w:marRight w:val="0"/>
              <w:marTop w:val="0"/>
              <w:marBottom w:val="0"/>
              <w:divBdr>
                <w:top w:val="none" w:sz="0" w:space="0" w:color="auto"/>
                <w:left w:val="none" w:sz="0" w:space="0" w:color="auto"/>
                <w:bottom w:val="none" w:sz="0" w:space="0" w:color="auto"/>
                <w:right w:val="none" w:sz="0" w:space="0" w:color="auto"/>
              </w:divBdr>
            </w:div>
          </w:divsChild>
        </w:div>
        <w:div w:id="2006667125">
          <w:marLeft w:val="0"/>
          <w:marRight w:val="0"/>
          <w:marTop w:val="0"/>
          <w:marBottom w:val="0"/>
          <w:divBdr>
            <w:top w:val="none" w:sz="0" w:space="0" w:color="auto"/>
            <w:left w:val="none" w:sz="0" w:space="0" w:color="auto"/>
            <w:bottom w:val="none" w:sz="0" w:space="0" w:color="auto"/>
            <w:right w:val="none" w:sz="0" w:space="0" w:color="auto"/>
          </w:divBdr>
          <w:divsChild>
            <w:div w:id="906575266">
              <w:marLeft w:val="0"/>
              <w:marRight w:val="0"/>
              <w:marTop w:val="0"/>
              <w:marBottom w:val="0"/>
              <w:divBdr>
                <w:top w:val="none" w:sz="0" w:space="0" w:color="auto"/>
                <w:left w:val="none" w:sz="0" w:space="0" w:color="auto"/>
                <w:bottom w:val="none" w:sz="0" w:space="0" w:color="auto"/>
                <w:right w:val="none" w:sz="0" w:space="0" w:color="auto"/>
              </w:divBdr>
            </w:div>
          </w:divsChild>
        </w:div>
        <w:div w:id="1449927246">
          <w:marLeft w:val="0"/>
          <w:marRight w:val="0"/>
          <w:marTop w:val="0"/>
          <w:marBottom w:val="0"/>
          <w:divBdr>
            <w:top w:val="none" w:sz="0" w:space="0" w:color="auto"/>
            <w:left w:val="none" w:sz="0" w:space="0" w:color="auto"/>
            <w:bottom w:val="none" w:sz="0" w:space="0" w:color="auto"/>
            <w:right w:val="none" w:sz="0" w:space="0" w:color="auto"/>
          </w:divBdr>
          <w:divsChild>
            <w:div w:id="1333676506">
              <w:marLeft w:val="0"/>
              <w:marRight w:val="0"/>
              <w:marTop w:val="0"/>
              <w:marBottom w:val="0"/>
              <w:divBdr>
                <w:top w:val="none" w:sz="0" w:space="0" w:color="auto"/>
                <w:left w:val="none" w:sz="0" w:space="0" w:color="auto"/>
                <w:bottom w:val="none" w:sz="0" w:space="0" w:color="auto"/>
                <w:right w:val="none" w:sz="0" w:space="0" w:color="auto"/>
              </w:divBdr>
            </w:div>
          </w:divsChild>
        </w:div>
        <w:div w:id="1575163431">
          <w:marLeft w:val="0"/>
          <w:marRight w:val="0"/>
          <w:marTop w:val="0"/>
          <w:marBottom w:val="0"/>
          <w:divBdr>
            <w:top w:val="none" w:sz="0" w:space="0" w:color="auto"/>
            <w:left w:val="none" w:sz="0" w:space="0" w:color="auto"/>
            <w:bottom w:val="none" w:sz="0" w:space="0" w:color="auto"/>
            <w:right w:val="none" w:sz="0" w:space="0" w:color="auto"/>
          </w:divBdr>
          <w:divsChild>
            <w:div w:id="221599582">
              <w:marLeft w:val="0"/>
              <w:marRight w:val="0"/>
              <w:marTop w:val="0"/>
              <w:marBottom w:val="0"/>
              <w:divBdr>
                <w:top w:val="none" w:sz="0" w:space="0" w:color="auto"/>
                <w:left w:val="none" w:sz="0" w:space="0" w:color="auto"/>
                <w:bottom w:val="none" w:sz="0" w:space="0" w:color="auto"/>
                <w:right w:val="none" w:sz="0" w:space="0" w:color="auto"/>
              </w:divBdr>
            </w:div>
          </w:divsChild>
        </w:div>
        <w:div w:id="1177690750">
          <w:marLeft w:val="0"/>
          <w:marRight w:val="0"/>
          <w:marTop w:val="0"/>
          <w:marBottom w:val="0"/>
          <w:divBdr>
            <w:top w:val="none" w:sz="0" w:space="0" w:color="auto"/>
            <w:left w:val="none" w:sz="0" w:space="0" w:color="auto"/>
            <w:bottom w:val="none" w:sz="0" w:space="0" w:color="auto"/>
            <w:right w:val="none" w:sz="0" w:space="0" w:color="auto"/>
          </w:divBdr>
          <w:divsChild>
            <w:div w:id="1740400272">
              <w:marLeft w:val="0"/>
              <w:marRight w:val="0"/>
              <w:marTop w:val="0"/>
              <w:marBottom w:val="0"/>
              <w:divBdr>
                <w:top w:val="none" w:sz="0" w:space="0" w:color="auto"/>
                <w:left w:val="none" w:sz="0" w:space="0" w:color="auto"/>
                <w:bottom w:val="none" w:sz="0" w:space="0" w:color="auto"/>
                <w:right w:val="none" w:sz="0" w:space="0" w:color="auto"/>
              </w:divBdr>
            </w:div>
          </w:divsChild>
        </w:div>
        <w:div w:id="1996912358">
          <w:marLeft w:val="0"/>
          <w:marRight w:val="0"/>
          <w:marTop w:val="0"/>
          <w:marBottom w:val="0"/>
          <w:divBdr>
            <w:top w:val="none" w:sz="0" w:space="0" w:color="auto"/>
            <w:left w:val="none" w:sz="0" w:space="0" w:color="auto"/>
            <w:bottom w:val="none" w:sz="0" w:space="0" w:color="auto"/>
            <w:right w:val="none" w:sz="0" w:space="0" w:color="auto"/>
          </w:divBdr>
          <w:divsChild>
            <w:div w:id="1398892731">
              <w:marLeft w:val="0"/>
              <w:marRight w:val="0"/>
              <w:marTop w:val="0"/>
              <w:marBottom w:val="0"/>
              <w:divBdr>
                <w:top w:val="none" w:sz="0" w:space="0" w:color="auto"/>
                <w:left w:val="none" w:sz="0" w:space="0" w:color="auto"/>
                <w:bottom w:val="none" w:sz="0" w:space="0" w:color="auto"/>
                <w:right w:val="none" w:sz="0" w:space="0" w:color="auto"/>
              </w:divBdr>
            </w:div>
          </w:divsChild>
        </w:div>
        <w:div w:id="1272319871">
          <w:marLeft w:val="0"/>
          <w:marRight w:val="0"/>
          <w:marTop w:val="0"/>
          <w:marBottom w:val="0"/>
          <w:divBdr>
            <w:top w:val="none" w:sz="0" w:space="0" w:color="auto"/>
            <w:left w:val="none" w:sz="0" w:space="0" w:color="auto"/>
            <w:bottom w:val="none" w:sz="0" w:space="0" w:color="auto"/>
            <w:right w:val="none" w:sz="0" w:space="0" w:color="auto"/>
          </w:divBdr>
          <w:divsChild>
            <w:div w:id="2047561739">
              <w:marLeft w:val="0"/>
              <w:marRight w:val="0"/>
              <w:marTop w:val="0"/>
              <w:marBottom w:val="0"/>
              <w:divBdr>
                <w:top w:val="none" w:sz="0" w:space="0" w:color="auto"/>
                <w:left w:val="none" w:sz="0" w:space="0" w:color="auto"/>
                <w:bottom w:val="none" w:sz="0" w:space="0" w:color="auto"/>
                <w:right w:val="none" w:sz="0" w:space="0" w:color="auto"/>
              </w:divBdr>
            </w:div>
          </w:divsChild>
        </w:div>
        <w:div w:id="1797942391">
          <w:marLeft w:val="0"/>
          <w:marRight w:val="0"/>
          <w:marTop w:val="0"/>
          <w:marBottom w:val="0"/>
          <w:divBdr>
            <w:top w:val="none" w:sz="0" w:space="0" w:color="auto"/>
            <w:left w:val="none" w:sz="0" w:space="0" w:color="auto"/>
            <w:bottom w:val="none" w:sz="0" w:space="0" w:color="auto"/>
            <w:right w:val="none" w:sz="0" w:space="0" w:color="auto"/>
          </w:divBdr>
          <w:divsChild>
            <w:div w:id="40402735">
              <w:marLeft w:val="0"/>
              <w:marRight w:val="0"/>
              <w:marTop w:val="0"/>
              <w:marBottom w:val="0"/>
              <w:divBdr>
                <w:top w:val="none" w:sz="0" w:space="0" w:color="auto"/>
                <w:left w:val="none" w:sz="0" w:space="0" w:color="auto"/>
                <w:bottom w:val="none" w:sz="0" w:space="0" w:color="auto"/>
                <w:right w:val="none" w:sz="0" w:space="0" w:color="auto"/>
              </w:divBdr>
            </w:div>
          </w:divsChild>
        </w:div>
        <w:div w:id="1735738811">
          <w:marLeft w:val="0"/>
          <w:marRight w:val="0"/>
          <w:marTop w:val="0"/>
          <w:marBottom w:val="0"/>
          <w:divBdr>
            <w:top w:val="none" w:sz="0" w:space="0" w:color="auto"/>
            <w:left w:val="none" w:sz="0" w:space="0" w:color="auto"/>
            <w:bottom w:val="none" w:sz="0" w:space="0" w:color="auto"/>
            <w:right w:val="none" w:sz="0" w:space="0" w:color="auto"/>
          </w:divBdr>
          <w:divsChild>
            <w:div w:id="818766220">
              <w:marLeft w:val="0"/>
              <w:marRight w:val="0"/>
              <w:marTop w:val="0"/>
              <w:marBottom w:val="0"/>
              <w:divBdr>
                <w:top w:val="none" w:sz="0" w:space="0" w:color="auto"/>
                <w:left w:val="none" w:sz="0" w:space="0" w:color="auto"/>
                <w:bottom w:val="none" w:sz="0" w:space="0" w:color="auto"/>
                <w:right w:val="none" w:sz="0" w:space="0" w:color="auto"/>
              </w:divBdr>
            </w:div>
          </w:divsChild>
        </w:div>
        <w:div w:id="2013220464">
          <w:marLeft w:val="0"/>
          <w:marRight w:val="0"/>
          <w:marTop w:val="0"/>
          <w:marBottom w:val="0"/>
          <w:divBdr>
            <w:top w:val="none" w:sz="0" w:space="0" w:color="auto"/>
            <w:left w:val="none" w:sz="0" w:space="0" w:color="auto"/>
            <w:bottom w:val="none" w:sz="0" w:space="0" w:color="auto"/>
            <w:right w:val="none" w:sz="0" w:space="0" w:color="auto"/>
          </w:divBdr>
          <w:divsChild>
            <w:div w:id="690645756">
              <w:marLeft w:val="0"/>
              <w:marRight w:val="0"/>
              <w:marTop w:val="0"/>
              <w:marBottom w:val="0"/>
              <w:divBdr>
                <w:top w:val="none" w:sz="0" w:space="0" w:color="auto"/>
                <w:left w:val="none" w:sz="0" w:space="0" w:color="auto"/>
                <w:bottom w:val="none" w:sz="0" w:space="0" w:color="auto"/>
                <w:right w:val="none" w:sz="0" w:space="0" w:color="auto"/>
              </w:divBdr>
            </w:div>
          </w:divsChild>
        </w:div>
        <w:div w:id="1457987169">
          <w:marLeft w:val="0"/>
          <w:marRight w:val="0"/>
          <w:marTop w:val="0"/>
          <w:marBottom w:val="0"/>
          <w:divBdr>
            <w:top w:val="none" w:sz="0" w:space="0" w:color="auto"/>
            <w:left w:val="none" w:sz="0" w:space="0" w:color="auto"/>
            <w:bottom w:val="none" w:sz="0" w:space="0" w:color="auto"/>
            <w:right w:val="none" w:sz="0" w:space="0" w:color="auto"/>
          </w:divBdr>
          <w:divsChild>
            <w:div w:id="851380690">
              <w:marLeft w:val="0"/>
              <w:marRight w:val="0"/>
              <w:marTop w:val="0"/>
              <w:marBottom w:val="0"/>
              <w:divBdr>
                <w:top w:val="none" w:sz="0" w:space="0" w:color="auto"/>
                <w:left w:val="none" w:sz="0" w:space="0" w:color="auto"/>
                <w:bottom w:val="none" w:sz="0" w:space="0" w:color="auto"/>
                <w:right w:val="none" w:sz="0" w:space="0" w:color="auto"/>
              </w:divBdr>
            </w:div>
          </w:divsChild>
        </w:div>
        <w:div w:id="576399274">
          <w:marLeft w:val="0"/>
          <w:marRight w:val="0"/>
          <w:marTop w:val="0"/>
          <w:marBottom w:val="0"/>
          <w:divBdr>
            <w:top w:val="none" w:sz="0" w:space="0" w:color="auto"/>
            <w:left w:val="none" w:sz="0" w:space="0" w:color="auto"/>
            <w:bottom w:val="none" w:sz="0" w:space="0" w:color="auto"/>
            <w:right w:val="none" w:sz="0" w:space="0" w:color="auto"/>
          </w:divBdr>
          <w:divsChild>
            <w:div w:id="1841309703">
              <w:marLeft w:val="0"/>
              <w:marRight w:val="0"/>
              <w:marTop w:val="0"/>
              <w:marBottom w:val="0"/>
              <w:divBdr>
                <w:top w:val="none" w:sz="0" w:space="0" w:color="auto"/>
                <w:left w:val="none" w:sz="0" w:space="0" w:color="auto"/>
                <w:bottom w:val="none" w:sz="0" w:space="0" w:color="auto"/>
                <w:right w:val="none" w:sz="0" w:space="0" w:color="auto"/>
              </w:divBdr>
            </w:div>
          </w:divsChild>
        </w:div>
        <w:div w:id="449475687">
          <w:marLeft w:val="0"/>
          <w:marRight w:val="0"/>
          <w:marTop w:val="0"/>
          <w:marBottom w:val="0"/>
          <w:divBdr>
            <w:top w:val="none" w:sz="0" w:space="0" w:color="auto"/>
            <w:left w:val="none" w:sz="0" w:space="0" w:color="auto"/>
            <w:bottom w:val="none" w:sz="0" w:space="0" w:color="auto"/>
            <w:right w:val="none" w:sz="0" w:space="0" w:color="auto"/>
          </w:divBdr>
          <w:divsChild>
            <w:div w:id="948974463">
              <w:marLeft w:val="0"/>
              <w:marRight w:val="0"/>
              <w:marTop w:val="0"/>
              <w:marBottom w:val="0"/>
              <w:divBdr>
                <w:top w:val="none" w:sz="0" w:space="0" w:color="auto"/>
                <w:left w:val="none" w:sz="0" w:space="0" w:color="auto"/>
                <w:bottom w:val="none" w:sz="0" w:space="0" w:color="auto"/>
                <w:right w:val="none" w:sz="0" w:space="0" w:color="auto"/>
              </w:divBdr>
            </w:div>
          </w:divsChild>
        </w:div>
        <w:div w:id="2009401287">
          <w:marLeft w:val="0"/>
          <w:marRight w:val="0"/>
          <w:marTop w:val="0"/>
          <w:marBottom w:val="0"/>
          <w:divBdr>
            <w:top w:val="none" w:sz="0" w:space="0" w:color="auto"/>
            <w:left w:val="none" w:sz="0" w:space="0" w:color="auto"/>
            <w:bottom w:val="none" w:sz="0" w:space="0" w:color="auto"/>
            <w:right w:val="none" w:sz="0" w:space="0" w:color="auto"/>
          </w:divBdr>
          <w:divsChild>
            <w:div w:id="752629617">
              <w:marLeft w:val="0"/>
              <w:marRight w:val="0"/>
              <w:marTop w:val="0"/>
              <w:marBottom w:val="0"/>
              <w:divBdr>
                <w:top w:val="none" w:sz="0" w:space="0" w:color="auto"/>
                <w:left w:val="none" w:sz="0" w:space="0" w:color="auto"/>
                <w:bottom w:val="none" w:sz="0" w:space="0" w:color="auto"/>
                <w:right w:val="none" w:sz="0" w:space="0" w:color="auto"/>
              </w:divBdr>
            </w:div>
          </w:divsChild>
        </w:div>
        <w:div w:id="104466351">
          <w:marLeft w:val="0"/>
          <w:marRight w:val="0"/>
          <w:marTop w:val="0"/>
          <w:marBottom w:val="0"/>
          <w:divBdr>
            <w:top w:val="none" w:sz="0" w:space="0" w:color="auto"/>
            <w:left w:val="none" w:sz="0" w:space="0" w:color="auto"/>
            <w:bottom w:val="none" w:sz="0" w:space="0" w:color="auto"/>
            <w:right w:val="none" w:sz="0" w:space="0" w:color="auto"/>
          </w:divBdr>
          <w:divsChild>
            <w:div w:id="1583372748">
              <w:marLeft w:val="0"/>
              <w:marRight w:val="0"/>
              <w:marTop w:val="0"/>
              <w:marBottom w:val="0"/>
              <w:divBdr>
                <w:top w:val="none" w:sz="0" w:space="0" w:color="auto"/>
                <w:left w:val="none" w:sz="0" w:space="0" w:color="auto"/>
                <w:bottom w:val="none" w:sz="0" w:space="0" w:color="auto"/>
                <w:right w:val="none" w:sz="0" w:space="0" w:color="auto"/>
              </w:divBdr>
            </w:div>
          </w:divsChild>
        </w:div>
        <w:div w:id="1112435788">
          <w:marLeft w:val="0"/>
          <w:marRight w:val="0"/>
          <w:marTop w:val="0"/>
          <w:marBottom w:val="0"/>
          <w:divBdr>
            <w:top w:val="none" w:sz="0" w:space="0" w:color="auto"/>
            <w:left w:val="none" w:sz="0" w:space="0" w:color="auto"/>
            <w:bottom w:val="none" w:sz="0" w:space="0" w:color="auto"/>
            <w:right w:val="none" w:sz="0" w:space="0" w:color="auto"/>
          </w:divBdr>
          <w:divsChild>
            <w:div w:id="12771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projects-and-evaluation/promising-programmes" TargetMode="External"/><Relationship Id="rId18" Type="http://schemas.openxmlformats.org/officeDocument/2006/relationships/hyperlink" Target="https://educationendowmentfoundation.org.uk/education-evidence/teaching-learning-toolkit/social-and-emotional-learning" TargetMode="External"/><Relationship Id="rId26" Type="http://schemas.openxmlformats.org/officeDocument/2006/relationships/hyperlink" Target="https://educationendowmentfoundation.org.uk/early-years/literacy/developing-vocabulary-in-early-years-education" TargetMode="External"/><Relationship Id="rId39" Type="http://schemas.openxmlformats.org/officeDocument/2006/relationships/hyperlink" Target="https://educationendowmentfoundation.org.uk/public/files/Publications/Maths/KS2_KS3_Maths_Guidance_2017.pdf" TargetMode="External"/><Relationship Id="rId21" Type="http://schemas.openxmlformats.org/officeDocument/2006/relationships/hyperlink" Target="https://educationendowmentfoundation.org.uk/education-evidence/teaching-learning-toolkit/phonics" TargetMode="External"/><Relationship Id="rId34" Type="http://schemas.openxmlformats.org/officeDocument/2006/relationships/hyperlink" Target="https://educationendowmentfoundation.org.uk/education-evidence/teaching-learning-toolkit" TargetMode="External"/><Relationship Id="rId42" Type="http://schemas.openxmlformats.org/officeDocument/2006/relationships/hyperlink" Target="https://educationendowmentfoundation.org.uk/news/evidence-brief-on-improving-attendance-and-support-for-disadvantaged-pupils" TargetMode="External"/><Relationship Id="rId47" Type="http://schemas.openxmlformats.org/officeDocument/2006/relationships/hyperlink" Target="https://educationendowmentfoundation.org.uk/education-evidence/teaching-learning-toolkit/social-and-emotional-learning" TargetMode="External"/><Relationship Id="rId50" Type="http://schemas.openxmlformats.org/officeDocument/2006/relationships/hyperlink" Target="https://www.gov.uk/government/publications/working-together-to-improve-school-attendanc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phonics" TargetMode="External"/><Relationship Id="rId29" Type="http://schemas.openxmlformats.org/officeDocument/2006/relationships/hyperlink" Target="https://www.gov.uk/government/publications/national-curriculum-in-england-mathematics-programmes-of-study" TargetMode="External"/><Relationship Id="rId11" Type="http://schemas.openxmlformats.org/officeDocument/2006/relationships/hyperlink" Target="https://assets.publishing.service.gov.uk/media/68e661e3dadf7616351e4f5b/Using_pupil_premium_guidance.pdf" TargetMode="External"/><Relationship Id="rId24" Type="http://schemas.openxmlformats.org/officeDocument/2006/relationships/hyperlink" Target="https://educationendowmentfoundation.org.uk/news/evidence-brief-on-improving-attendance-and-support-for-disadvantaged-pupils" TargetMode="External"/><Relationship Id="rId32" Type="http://schemas.openxmlformats.org/officeDocument/2006/relationships/hyperlink" Target="https://educationendowmentfoundation.org.uk/guidance-for-teachers/implementation" TargetMode="External"/><Relationship Id="rId37" Type="http://schemas.openxmlformats.org/officeDocument/2006/relationships/hyperlink" Target="https://educationendowmentfoundation.org.uk/using-pupil-premium" TargetMode="External"/><Relationship Id="rId40" Type="http://schemas.openxmlformats.org/officeDocument/2006/relationships/hyperlink" Target="https://educationendowmentfoundation.org.uk/education-evidence/teaching-learning-toolkit/social-and-emotional-learning" TargetMode="External"/><Relationship Id="rId45" Type="http://schemas.openxmlformats.org/officeDocument/2006/relationships/hyperlink" Target="https://educationendowmentfoundation.org.uk/education-evidence/teaching-learning-toolkit/phonics"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educationendowmentfoundation.org.uk/using-pupil-premium" TargetMode="External"/><Relationship Id="rId19" Type="http://schemas.openxmlformats.org/officeDocument/2006/relationships/hyperlink" Target="https://assets.publishing.service.gov.uk/media/68e661e3dadf7616351e4f5b/Using_pupil_premium_guidance.pdf" TargetMode="External"/><Relationship Id="rId31" Type="http://schemas.openxmlformats.org/officeDocument/2006/relationships/hyperlink" Target="https://assets.publishing.service.gov.uk/media/68e661e3dadf7616351e4f5b/Using_pupil_premium_guidance.pdf" TargetMode="External"/><Relationship Id="rId44" Type="http://schemas.openxmlformats.org/officeDocument/2006/relationships/hyperlink" Target="https://educationendowmentfoundation.org.uk/early-years/literacy/developing-vocabulary-in-early-years-education"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guidance-reports/improving-social-and-emotional-learning-in-primary-schools" TargetMode="External"/><Relationship Id="rId22" Type="http://schemas.openxmlformats.org/officeDocument/2006/relationships/hyperlink" Target="https://educationendowmentfoundation.org.uk/projects-and-evaluation/projects/affordable-maths-tuition" TargetMode="External"/><Relationship Id="rId27" Type="http://schemas.openxmlformats.org/officeDocument/2006/relationships/hyperlink" Target="https://educationendowmentfoundation.org.uk/education-evidence/early-years-toolkit" TargetMode="External"/><Relationship Id="rId30" Type="http://schemas.openxmlformats.org/officeDocument/2006/relationships/hyperlink" Target="https://educationendowmentfoundation.org.uk/guidance-for-teachers/improving-mathematics-in-key-stages-2-and-3" TargetMode="External"/><Relationship Id="rId35" Type="http://schemas.openxmlformats.org/officeDocument/2006/relationships/hyperlink" Target="https://educationendowmentfoundation.org.uk/projects-and-evaluation/promising-programmes" TargetMode="External"/><Relationship Id="rId43" Type="http://schemas.openxmlformats.org/officeDocument/2006/relationships/hyperlink" Target="https://assets.publishing.service.gov.uk/media/68e661e3dadf7616351e4f5b/Using_pupil_premium_guidance.pdf" TargetMode="External"/><Relationship Id="rId48" Type="http://schemas.openxmlformats.org/officeDocument/2006/relationships/hyperlink" Target="https://educationendowmentfoundation.org.uk/news/evidence-brief-on-improving-attendance-and-support-for-disadvantaged-pupils" TargetMode="External"/><Relationship Id="rId8" Type="http://schemas.openxmlformats.org/officeDocument/2006/relationships/footnotes" Target="footnotes.xml"/><Relationship Id="rId51" Type="http://schemas.openxmlformats.org/officeDocument/2006/relationships/hyperlink" Target="https://assets.publishing.service.gov.uk/media/68e661e3dadf7616351e4f5b/Using_pupil_premium_guidance.pdf" TargetMode="External"/><Relationship Id="rId3" Type="http://schemas.openxmlformats.org/officeDocument/2006/relationships/customXml" Target="../customXml/item3.xml"/><Relationship Id="rId12" Type="http://schemas.openxmlformats.org/officeDocument/2006/relationships/hyperlink" Target="https://assets.publishing.service.gov.uk/media/68e661e3dadf7616351e4f5b/Using_pupil_premium_guidance.pdf" TargetMode="External"/><Relationship Id="rId17" Type="http://schemas.openxmlformats.org/officeDocument/2006/relationships/hyperlink" Target="https://educationendowmentfoundation.org.uk/projects-and-evaluation/promising-programmes" TargetMode="External"/><Relationship Id="rId25" Type="http://schemas.openxmlformats.org/officeDocument/2006/relationships/header" Target="header1.xml"/><Relationship Id="rId33" Type="http://schemas.openxmlformats.org/officeDocument/2006/relationships/hyperlink" Target="https://educationendowmentfoundation.org.uk/early-years/literacy/developing-vocabulary-in-early-years-education" TargetMode="External"/><Relationship Id="rId38" Type="http://schemas.openxmlformats.org/officeDocument/2006/relationships/hyperlink" Target="https://assets.publishing.service.gov.uk/government/uploads/system/uploads/attachment_data/file/897806/Maths_guidance_KS_1_and_2.pdf" TargetMode="External"/><Relationship Id="rId46" Type="http://schemas.openxmlformats.org/officeDocument/2006/relationships/hyperlink" Target="https://educationendowmentfoundation.org.uk/projects-and-evaluation/promising-programmes" TargetMode="External"/><Relationship Id="rId20" Type="http://schemas.openxmlformats.org/officeDocument/2006/relationships/hyperlink" Target="https://educationendowmentfoundation.org.uk/early-years/literacy/developing-vocabulary-in-early-years-education" TargetMode="External"/><Relationship Id="rId41" Type="http://schemas.openxmlformats.org/officeDocument/2006/relationships/hyperlink" Target="https://www.gov.uk/government/publications/working-together-to-improve-school-attendanc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educationendowmentfoundation.org.uk/early-years/literacy/developing-vocabulary-in-early-years-education" TargetMode="External"/><Relationship Id="rId23" Type="http://schemas.openxmlformats.org/officeDocument/2006/relationships/hyperlink" Target="https://assets.publishing.service.gov.uk/media/68e661e3dadf7616351e4f5b/Using_pupil_premium_guidance.pdf" TargetMode="External"/><Relationship Id="rId28" Type="http://schemas.openxmlformats.org/officeDocument/2006/relationships/hyperlink" Target="https://educationendowmentfoundation.org.uk/education-evidence/teaching-learning-toolkit/phonics" TargetMode="External"/><Relationship Id="rId36" Type="http://schemas.openxmlformats.org/officeDocument/2006/relationships/hyperlink" Target="https://educationendowmentfoundation.org.uk/education-evidence/teaching-learning-toolkit/phonics" TargetMode="External"/><Relationship Id="rId49" Type="http://schemas.openxmlformats.org/officeDocument/2006/relationships/hyperlink" Target="https://assets.publishing.service.gov.uk/media/68e661e3dadf7616351e4f5b/Using_pupil_premium_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e578e5-c4d9-4e6b-ba10-889ec8f6c692">
      <Terms xmlns="http://schemas.microsoft.com/office/infopath/2007/PartnerControls"/>
    </lcf76f155ced4ddcb4097134ff3c332f>
    <TaxCatchAll xmlns="2867e6b9-b027-4a5b-89f8-abb309faa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DDB0407532594892E3EB1697DB5374" ma:contentTypeVersion="11" ma:contentTypeDescription="Create a new document." ma:contentTypeScope="" ma:versionID="04c131f054906f5bc07b1e172b5f050d">
  <xsd:schema xmlns:xsd="http://www.w3.org/2001/XMLSchema" xmlns:xs="http://www.w3.org/2001/XMLSchema" xmlns:p="http://schemas.microsoft.com/office/2006/metadata/properties" xmlns:ns2="dae578e5-c4d9-4e6b-ba10-889ec8f6c692" xmlns:ns3="2867e6b9-b027-4a5b-89f8-abb309faa4fd" targetNamespace="http://schemas.microsoft.com/office/2006/metadata/properties" ma:root="true" ma:fieldsID="2aa1c710b4d8b2a76909169916b78eed" ns2:_="" ns3:_="">
    <xsd:import namespace="dae578e5-c4d9-4e6b-ba10-889ec8f6c692"/>
    <xsd:import namespace="2867e6b9-b027-4a5b-89f8-abb309fa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578e5-c4d9-4e6b-ba10-889ec8f6c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6dd67e0-b0d4-44d5-a14b-4d68f583447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67e6b9-b027-4a5b-89f8-abb309faa4f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b1e3bd-84c9-4015-b6f6-a6c8656dc9f2}" ma:internalName="TaxCatchAll" ma:showField="CatchAllData" ma:web="2867e6b9-b027-4a5b-89f8-abb309fa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3577C-0997-4312-A7A3-7B67989DA4F5}">
  <ds:schemaRefs>
    <ds:schemaRef ds:uri="http://schemas.microsoft.com/office/2006/metadata/properties"/>
    <ds:schemaRef ds:uri="http://schemas.microsoft.com/office/infopath/2007/PartnerControls"/>
    <ds:schemaRef ds:uri="dae578e5-c4d9-4e6b-ba10-889ec8f6c692"/>
    <ds:schemaRef ds:uri="2867e6b9-b027-4a5b-89f8-abb309faa4fd"/>
  </ds:schemaRefs>
</ds:datastoreItem>
</file>

<file path=customXml/itemProps2.xml><?xml version="1.0" encoding="utf-8"?>
<ds:datastoreItem xmlns:ds="http://schemas.openxmlformats.org/officeDocument/2006/customXml" ds:itemID="{76234423-5797-459F-A27A-C54795EB68E7}">
  <ds:schemaRefs>
    <ds:schemaRef ds:uri="http://schemas.microsoft.com/sharepoint/v3/contenttype/forms"/>
  </ds:schemaRefs>
</ds:datastoreItem>
</file>

<file path=customXml/itemProps3.xml><?xml version="1.0" encoding="utf-8"?>
<ds:datastoreItem xmlns:ds="http://schemas.openxmlformats.org/officeDocument/2006/customXml" ds:itemID="{B54C2C46-D2B2-4446-AFEF-4CD837793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578e5-c4d9-4e6b-ba10-889ec8f6c692"/>
    <ds:schemaRef ds:uri="2867e6b9-b027-4a5b-89f8-abb309fa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12</Pages>
  <Words>3932</Words>
  <Characters>22419</Characters>
  <Application>Microsoft Office Word</Application>
  <DocSecurity>0</DocSecurity>
  <Lines>186</Lines>
  <Paragraphs>52</Paragraphs>
  <ScaleCrop>false</ScaleCrop>
  <Company/>
  <LinksUpToDate>false</LinksUpToDate>
  <CharactersWithSpaces>26299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Maria-Anne Higgins</dc:creator>
  <cp:lastModifiedBy>Maria-Anne Higgins</cp:lastModifiedBy>
  <cp:revision>52</cp:revision>
  <dcterms:created xsi:type="dcterms:W3CDTF">2025-12-02T10:14:00Z</dcterms:created>
  <dcterms:modified xsi:type="dcterms:W3CDTF">2025-12-04T12:06:00Z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0x01010060DDB0407532594892E3EB1697DB5374</vt:lpwstr>
  </property>
  <property fmtid="{D5CDD505-2E9C-101B-9397-08002B2CF9AE}" pid="3" name="MediaServiceImageTags">
    <vt:lpwstr/>
  </property>
</Properties>
</file>